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6"/>
        <w:ind w:left="327" w:right="423" w:firstLine="0"/>
        <w:jc w:val="center"/>
      </w:pPr>
      <w:r>
        <w:rPr/>
        <w:t>ANNEX 1</w:t>
      </w:r>
    </w:p>
    <w:p>
      <w:pPr>
        <w:pStyle w:val="BodyText"/>
        <w:spacing w:before="1"/>
        <w:rPr>
          <w:b/>
        </w:rPr>
      </w:pPr>
    </w:p>
    <w:p>
      <w:pPr>
        <w:spacing w:before="0"/>
        <w:ind w:left="327" w:right="421" w:firstLine="0"/>
        <w:jc w:val="center"/>
        <w:rPr>
          <w:b/>
          <w:sz w:val="22"/>
        </w:rPr>
      </w:pPr>
      <w:r>
        <w:rPr>
          <w:b/>
          <w:sz w:val="22"/>
        </w:rPr>
        <w:t>RESOLUTION MEPC.259(68)</w:t>
      </w:r>
    </w:p>
    <w:p>
      <w:pPr>
        <w:spacing w:before="1"/>
        <w:ind w:left="327" w:right="421" w:firstLine="0"/>
        <w:jc w:val="center"/>
        <w:rPr>
          <w:b/>
          <w:sz w:val="22"/>
        </w:rPr>
      </w:pPr>
      <w:r>
        <w:rPr>
          <w:b/>
          <w:sz w:val="22"/>
        </w:rPr>
        <w:t>(adopted on 15 May 2015)</w:t>
      </w:r>
    </w:p>
    <w:p>
      <w:pPr>
        <w:pStyle w:val="BodyText"/>
        <w:spacing w:before="10"/>
        <w:rPr>
          <w:b/>
          <w:sz w:val="21"/>
        </w:rPr>
      </w:pPr>
    </w:p>
    <w:p>
      <w:pPr>
        <w:spacing w:before="0"/>
        <w:ind w:left="327" w:right="422" w:firstLine="0"/>
        <w:jc w:val="center"/>
        <w:rPr>
          <w:b/>
          <w:sz w:val="22"/>
        </w:rPr>
      </w:pPr>
      <w:r>
        <w:rPr>
          <w:b/>
          <w:sz w:val="22"/>
        </w:rPr>
        <w:t>2015 GUIDELINES FOR EXHAUST GAS CLEANING SYSTEMS</w:t>
      </w:r>
    </w:p>
    <w:p>
      <w:pPr>
        <w:pStyle w:val="BodyText"/>
        <w:rPr>
          <w:b/>
          <w:sz w:val="24"/>
        </w:rPr>
      </w:pPr>
    </w:p>
    <w:p>
      <w:pPr>
        <w:pStyle w:val="BodyText"/>
        <w:spacing w:before="4"/>
        <w:rPr>
          <w:b/>
          <w:sz w:val="20"/>
        </w:rPr>
      </w:pPr>
    </w:p>
    <w:p>
      <w:pPr>
        <w:pStyle w:val="BodyText"/>
        <w:ind w:left="318"/>
        <w:jc w:val="both"/>
      </w:pPr>
      <w:r>
        <w:rPr/>
        <w:t>THE MARINE ENVIRONMENT PROTECTION COMMITTEE,</w:t>
      </w:r>
    </w:p>
    <w:p>
      <w:pPr>
        <w:pStyle w:val="BodyText"/>
        <w:spacing w:before="10"/>
        <w:rPr>
          <w:sz w:val="21"/>
        </w:rPr>
      </w:pPr>
    </w:p>
    <w:p>
      <w:pPr>
        <w:pStyle w:val="BodyText"/>
        <w:ind w:left="318" w:right="414"/>
        <w:jc w:val="both"/>
      </w:pPr>
      <w:r>
        <w:rPr/>
        <w:t>RECALLING Article 38(a) of the Convention on the International Maritime Organization concerning the functions of the Marine Environment Protection Committee (the Committee) conferred upon it by international conventions for the prevention and control of marine pollution from ships,</w:t>
      </w:r>
    </w:p>
    <w:p>
      <w:pPr>
        <w:pStyle w:val="BodyText"/>
        <w:spacing w:before="11"/>
        <w:rPr>
          <w:sz w:val="21"/>
        </w:rPr>
      </w:pPr>
    </w:p>
    <w:p>
      <w:pPr>
        <w:pStyle w:val="BodyText"/>
        <w:ind w:left="318" w:right="410"/>
        <w:jc w:val="both"/>
      </w:pPr>
      <w:r>
        <w:rPr>
          <w:spacing w:val="-3"/>
        </w:rPr>
        <w:t>RECALLING  ALSO  </w:t>
      </w:r>
      <w:r>
        <w:rPr/>
        <w:t>that,  at  </w:t>
      </w:r>
      <w:r>
        <w:rPr>
          <w:spacing w:val="-2"/>
        </w:rPr>
        <w:t>its  </w:t>
      </w:r>
      <w:r>
        <w:rPr>
          <w:spacing w:val="-3"/>
        </w:rPr>
        <w:t>fifty-eighth  session,  </w:t>
      </w:r>
      <w:r>
        <w:rPr/>
        <w:t>the  </w:t>
      </w:r>
      <w:r>
        <w:rPr>
          <w:spacing w:val="-3"/>
        </w:rPr>
        <w:t>Committee   adopted,   </w:t>
      </w:r>
      <w:r>
        <w:rPr/>
        <w:t>by  </w:t>
      </w:r>
      <w:r>
        <w:rPr>
          <w:spacing w:val="-3"/>
        </w:rPr>
        <w:t>resolution MEPC.176(58), </w:t>
      </w:r>
      <w:r>
        <w:rPr/>
        <w:t>a </w:t>
      </w:r>
      <w:r>
        <w:rPr>
          <w:spacing w:val="-3"/>
        </w:rPr>
        <w:t>revised MARPOL </w:t>
      </w:r>
      <w:r>
        <w:rPr/>
        <w:t>Annex VI </w:t>
      </w:r>
      <w:r>
        <w:rPr>
          <w:spacing w:val="-3"/>
        </w:rPr>
        <w:t>which significantly strengthens </w:t>
      </w:r>
      <w:r>
        <w:rPr/>
        <w:t>the </w:t>
      </w:r>
      <w:r>
        <w:rPr>
          <w:spacing w:val="-3"/>
          <w:position w:val="2"/>
        </w:rPr>
        <w:t>emission limits </w:t>
      </w:r>
      <w:r>
        <w:rPr>
          <w:position w:val="2"/>
        </w:rPr>
        <w:t>for </w:t>
      </w:r>
      <w:r>
        <w:rPr>
          <w:spacing w:val="-3"/>
          <w:position w:val="2"/>
        </w:rPr>
        <w:t>sulphur oxides</w:t>
      </w:r>
      <w:r>
        <w:rPr>
          <w:spacing w:val="-10"/>
          <w:position w:val="2"/>
        </w:rPr>
        <w:t> </w:t>
      </w:r>
      <w:r>
        <w:rPr>
          <w:spacing w:val="-3"/>
          <w:position w:val="2"/>
        </w:rPr>
        <w:t>(SO</w:t>
      </w:r>
      <w:r>
        <w:rPr>
          <w:spacing w:val="-3"/>
          <w:sz w:val="14"/>
        </w:rPr>
        <w:t>X</w:t>
      </w:r>
      <w:r>
        <w:rPr>
          <w:spacing w:val="-3"/>
          <w:position w:val="2"/>
        </w:rPr>
        <w:t>),</w:t>
      </w:r>
    </w:p>
    <w:p>
      <w:pPr>
        <w:pStyle w:val="BodyText"/>
        <w:spacing w:before="10"/>
        <w:rPr>
          <w:sz w:val="21"/>
        </w:rPr>
      </w:pPr>
    </w:p>
    <w:p>
      <w:pPr>
        <w:spacing w:before="0"/>
        <w:ind w:left="318" w:right="410" w:firstLine="0"/>
        <w:jc w:val="both"/>
        <w:rPr>
          <w:sz w:val="22"/>
        </w:rPr>
      </w:pPr>
      <w:r>
        <w:rPr>
          <w:spacing w:val="-3"/>
          <w:sz w:val="22"/>
        </w:rPr>
        <w:t>RECALLING FURTHER </w:t>
      </w:r>
      <w:r>
        <w:rPr>
          <w:sz w:val="22"/>
        </w:rPr>
        <w:t>that, at  </w:t>
      </w:r>
      <w:r>
        <w:rPr>
          <w:spacing w:val="-2"/>
          <w:sz w:val="22"/>
        </w:rPr>
        <w:t>its  </w:t>
      </w:r>
      <w:r>
        <w:rPr>
          <w:spacing w:val="-3"/>
          <w:sz w:val="22"/>
        </w:rPr>
        <w:t>fifty-ninth  session,  </w:t>
      </w:r>
      <w:r>
        <w:rPr>
          <w:sz w:val="22"/>
        </w:rPr>
        <w:t>the  </w:t>
      </w:r>
      <w:r>
        <w:rPr>
          <w:spacing w:val="-3"/>
          <w:sz w:val="22"/>
        </w:rPr>
        <w:t>Committee  adopted,  </w:t>
      </w:r>
      <w:r>
        <w:rPr>
          <w:sz w:val="22"/>
        </w:rPr>
        <w:t>by </w:t>
      </w:r>
      <w:r>
        <w:rPr>
          <w:spacing w:val="-3"/>
          <w:sz w:val="22"/>
        </w:rPr>
        <w:t>resolution MEPC.184(59), </w:t>
      </w:r>
      <w:r>
        <w:rPr>
          <w:sz w:val="22"/>
        </w:rPr>
        <w:t>the </w:t>
      </w:r>
      <w:r>
        <w:rPr>
          <w:i/>
          <w:spacing w:val="-3"/>
          <w:sz w:val="22"/>
        </w:rPr>
        <w:t>2009 Guidelines </w:t>
      </w:r>
      <w:r>
        <w:rPr>
          <w:i/>
          <w:sz w:val="22"/>
        </w:rPr>
        <w:t>for </w:t>
      </w:r>
      <w:r>
        <w:rPr>
          <w:i/>
          <w:spacing w:val="-3"/>
          <w:sz w:val="22"/>
        </w:rPr>
        <w:t>exhaust </w:t>
      </w:r>
      <w:r>
        <w:rPr>
          <w:i/>
          <w:sz w:val="22"/>
        </w:rPr>
        <w:t>gas </w:t>
      </w:r>
      <w:r>
        <w:rPr>
          <w:i/>
          <w:spacing w:val="-3"/>
          <w:sz w:val="22"/>
        </w:rPr>
        <w:t>cleaning </w:t>
      </w:r>
      <w:r>
        <w:rPr>
          <w:i/>
          <w:sz w:val="22"/>
        </w:rPr>
        <w:t>systems </w:t>
      </w:r>
      <w:r>
        <w:rPr>
          <w:spacing w:val="-3"/>
          <w:sz w:val="22"/>
        </w:rPr>
        <w:t>(hereinafter referred </w:t>
      </w:r>
      <w:r>
        <w:rPr>
          <w:sz w:val="22"/>
        </w:rPr>
        <w:t>to as </w:t>
      </w:r>
      <w:r>
        <w:rPr>
          <w:spacing w:val="-3"/>
          <w:sz w:val="22"/>
        </w:rPr>
        <w:t>"2009 EGCS</w:t>
      </w:r>
      <w:r>
        <w:rPr>
          <w:spacing w:val="-16"/>
          <w:sz w:val="22"/>
        </w:rPr>
        <w:t> </w:t>
      </w:r>
      <w:r>
        <w:rPr>
          <w:spacing w:val="-3"/>
          <w:sz w:val="22"/>
        </w:rPr>
        <w:t>Guidelines"),</w:t>
      </w:r>
    </w:p>
    <w:p>
      <w:pPr>
        <w:pStyle w:val="BodyText"/>
        <w:spacing w:before="1"/>
      </w:pPr>
    </w:p>
    <w:p>
      <w:pPr>
        <w:pStyle w:val="BodyText"/>
        <w:ind w:left="318"/>
        <w:jc w:val="both"/>
      </w:pPr>
      <w:r>
        <w:rPr/>
        <w:t>NOTING that the revised MARPOL Annex VI entered into force on 1 July 2010,</w:t>
      </w:r>
    </w:p>
    <w:p>
      <w:pPr>
        <w:pStyle w:val="BodyText"/>
      </w:pPr>
    </w:p>
    <w:p>
      <w:pPr>
        <w:pStyle w:val="BodyText"/>
        <w:ind w:left="318" w:right="411"/>
        <w:jc w:val="both"/>
      </w:pPr>
      <w:r>
        <w:rPr/>
        <w:t>NOTING ALSO that regulation 4 of MARPOL Annex VI allows the use of an alternative compliance method at least as effective in terms of emission reductions as that required by MARPOL Annex VI, including any of the standards set forth in regulation 14, taking into account guidelines developed by the Organization,</w:t>
      </w:r>
    </w:p>
    <w:p>
      <w:pPr>
        <w:pStyle w:val="BodyText"/>
      </w:pPr>
    </w:p>
    <w:p>
      <w:pPr>
        <w:pStyle w:val="BodyText"/>
        <w:ind w:left="318"/>
        <w:jc w:val="both"/>
        <w:rPr>
          <w:i/>
        </w:rPr>
      </w:pPr>
      <w:r>
        <w:rPr/>
        <w:t>RECOGNIZING the need to update the 2009 EGCS Guidelines accordingly</w:t>
      </w:r>
      <w:r>
        <w:rPr>
          <w:i/>
        </w:rPr>
        <w:t>,</w:t>
      </w:r>
    </w:p>
    <w:p>
      <w:pPr>
        <w:pStyle w:val="BodyText"/>
        <w:spacing w:before="10"/>
        <w:rPr>
          <w:i/>
          <w:sz w:val="21"/>
        </w:rPr>
      </w:pPr>
    </w:p>
    <w:p>
      <w:pPr>
        <w:pStyle w:val="BodyText"/>
        <w:ind w:left="318" w:right="411"/>
        <w:jc w:val="both"/>
      </w:pPr>
      <w:r>
        <w:rPr/>
        <w:t>HAVING CONSIDERED, at its sixty-eighth session, draft amendments to the </w:t>
      </w:r>
      <w:r>
        <w:rPr>
          <w:spacing w:val="-3"/>
        </w:rPr>
        <w:t>2009 EGCS</w:t>
      </w:r>
      <w:r>
        <w:rPr>
          <w:spacing w:val="55"/>
        </w:rPr>
        <w:t> </w:t>
      </w:r>
      <w:r>
        <w:rPr>
          <w:spacing w:val="-3"/>
        </w:rPr>
        <w:t>Guidelines, </w:t>
      </w:r>
      <w:r>
        <w:rPr/>
        <w:t>prepared by the Sub-Committee on Pollution Prevention and Response, at its second session,</w:t>
      </w:r>
    </w:p>
    <w:p>
      <w:pPr>
        <w:pStyle w:val="BodyText"/>
        <w:spacing w:before="1"/>
      </w:pPr>
    </w:p>
    <w:p>
      <w:pPr>
        <w:pStyle w:val="ListParagraph"/>
        <w:numPr>
          <w:ilvl w:val="0"/>
          <w:numId w:val="1"/>
        </w:numPr>
        <w:tabs>
          <w:tab w:pos="1170" w:val="left" w:leader="none"/>
          <w:tab w:pos="1171" w:val="left" w:leader="none"/>
        </w:tabs>
        <w:spacing w:line="240" w:lineRule="auto" w:before="0" w:after="0"/>
        <w:ind w:left="318" w:right="413" w:firstLine="0"/>
        <w:jc w:val="both"/>
        <w:rPr>
          <w:sz w:val="22"/>
        </w:rPr>
      </w:pPr>
      <w:r>
        <w:rPr>
          <w:sz w:val="22"/>
        </w:rPr>
        <w:t>ADOPTS the </w:t>
      </w:r>
      <w:r>
        <w:rPr>
          <w:i/>
          <w:spacing w:val="-3"/>
          <w:sz w:val="22"/>
        </w:rPr>
        <w:t>2015 Guidelines </w:t>
      </w:r>
      <w:r>
        <w:rPr>
          <w:i/>
          <w:sz w:val="22"/>
        </w:rPr>
        <w:t>for </w:t>
      </w:r>
      <w:r>
        <w:rPr>
          <w:i/>
          <w:spacing w:val="-3"/>
          <w:sz w:val="22"/>
        </w:rPr>
        <w:t>exhaust </w:t>
      </w:r>
      <w:r>
        <w:rPr>
          <w:i/>
          <w:sz w:val="22"/>
        </w:rPr>
        <w:t>gas </w:t>
      </w:r>
      <w:r>
        <w:rPr>
          <w:i/>
          <w:spacing w:val="-4"/>
          <w:sz w:val="22"/>
        </w:rPr>
        <w:t>cleaning </w:t>
      </w:r>
      <w:r>
        <w:rPr>
          <w:i/>
          <w:sz w:val="22"/>
        </w:rPr>
        <w:t>systems</w:t>
      </w:r>
      <w:r>
        <w:rPr>
          <w:sz w:val="22"/>
        </w:rPr>
        <w:t>, as set out in the annex to the present</w:t>
      </w:r>
      <w:r>
        <w:rPr>
          <w:spacing w:val="-6"/>
          <w:sz w:val="22"/>
        </w:rPr>
        <w:t> </w:t>
      </w:r>
      <w:r>
        <w:rPr>
          <w:sz w:val="22"/>
        </w:rPr>
        <w:t>resolution;</w:t>
      </w:r>
    </w:p>
    <w:p>
      <w:pPr>
        <w:pStyle w:val="BodyText"/>
        <w:spacing w:before="11"/>
        <w:rPr>
          <w:sz w:val="21"/>
        </w:rPr>
      </w:pPr>
    </w:p>
    <w:p>
      <w:pPr>
        <w:pStyle w:val="ListParagraph"/>
        <w:numPr>
          <w:ilvl w:val="0"/>
          <w:numId w:val="1"/>
        </w:numPr>
        <w:tabs>
          <w:tab w:pos="1170" w:val="left" w:leader="none"/>
          <w:tab w:pos="1171" w:val="left" w:leader="none"/>
        </w:tabs>
        <w:spacing w:line="240" w:lineRule="auto" w:before="0" w:after="0"/>
        <w:ind w:left="318" w:right="413" w:firstLine="0"/>
        <w:jc w:val="both"/>
        <w:rPr>
          <w:sz w:val="22"/>
        </w:rPr>
      </w:pPr>
      <w:r>
        <w:rPr>
          <w:sz w:val="22"/>
        </w:rPr>
        <w:t>INVITES Administrations to take these Guidelines into account when allowing the use of an exhaust gas cleaning system in accordance with  regulation  4  of  MARPOL  Annex</w:t>
      </w:r>
      <w:r>
        <w:rPr>
          <w:spacing w:val="-2"/>
          <w:sz w:val="22"/>
        </w:rPr>
        <w:t> </w:t>
      </w:r>
      <w:r>
        <w:rPr>
          <w:sz w:val="22"/>
        </w:rPr>
        <w:t>VI;</w:t>
      </w:r>
    </w:p>
    <w:p>
      <w:pPr>
        <w:pStyle w:val="BodyText"/>
        <w:spacing w:before="1"/>
      </w:pPr>
    </w:p>
    <w:p>
      <w:pPr>
        <w:pStyle w:val="ListParagraph"/>
        <w:numPr>
          <w:ilvl w:val="0"/>
          <w:numId w:val="1"/>
        </w:numPr>
        <w:tabs>
          <w:tab w:pos="1170" w:val="left" w:leader="none"/>
          <w:tab w:pos="1171" w:val="left" w:leader="none"/>
        </w:tabs>
        <w:spacing w:line="240" w:lineRule="auto" w:before="0" w:after="0"/>
        <w:ind w:left="318" w:right="414" w:firstLine="0"/>
        <w:jc w:val="both"/>
        <w:rPr>
          <w:sz w:val="22"/>
        </w:rPr>
      </w:pPr>
      <w:r>
        <w:rPr>
          <w:sz w:val="22"/>
        </w:rPr>
        <w:t>REQUESTS Parties to MARPOL Annex VI and other Member Governments to bring these Guidelines to the attention of shipowners, ship operators, shipbuilders, marine diesel engine manufacturers and any other interested</w:t>
      </w:r>
      <w:r>
        <w:rPr>
          <w:spacing w:val="-11"/>
          <w:sz w:val="22"/>
        </w:rPr>
        <w:t> </w:t>
      </w:r>
      <w:r>
        <w:rPr>
          <w:sz w:val="22"/>
        </w:rPr>
        <w:t>groups;</w:t>
      </w:r>
    </w:p>
    <w:p>
      <w:pPr>
        <w:pStyle w:val="BodyText"/>
        <w:spacing w:before="10"/>
        <w:rPr>
          <w:sz w:val="21"/>
        </w:rPr>
      </w:pPr>
    </w:p>
    <w:p>
      <w:pPr>
        <w:pStyle w:val="ListParagraph"/>
        <w:numPr>
          <w:ilvl w:val="0"/>
          <w:numId w:val="1"/>
        </w:numPr>
        <w:tabs>
          <w:tab w:pos="1170" w:val="left" w:leader="none"/>
          <w:tab w:pos="1171" w:val="left" w:leader="none"/>
        </w:tabs>
        <w:spacing w:line="240" w:lineRule="auto" w:before="1" w:after="0"/>
        <w:ind w:left="318" w:right="414" w:firstLine="0"/>
        <w:jc w:val="both"/>
        <w:rPr>
          <w:sz w:val="22"/>
        </w:rPr>
      </w:pPr>
      <w:r>
        <w:rPr>
          <w:sz w:val="22"/>
        </w:rPr>
        <w:t>INVITES Administrations to provide for collection of data as described in appendix 3 of these</w:t>
      </w:r>
      <w:r>
        <w:rPr>
          <w:spacing w:val="-1"/>
          <w:sz w:val="22"/>
        </w:rPr>
        <w:t> </w:t>
      </w:r>
      <w:r>
        <w:rPr>
          <w:sz w:val="22"/>
        </w:rPr>
        <w:t>Guidelines;</w:t>
      </w:r>
    </w:p>
    <w:p>
      <w:pPr>
        <w:pStyle w:val="BodyText"/>
        <w:spacing w:before="1"/>
      </w:pPr>
    </w:p>
    <w:p>
      <w:pPr>
        <w:pStyle w:val="ListParagraph"/>
        <w:numPr>
          <w:ilvl w:val="0"/>
          <w:numId w:val="1"/>
        </w:numPr>
        <w:tabs>
          <w:tab w:pos="1170" w:val="left" w:leader="none"/>
          <w:tab w:pos="1171" w:val="left" w:leader="none"/>
        </w:tabs>
        <w:spacing w:line="240" w:lineRule="auto" w:before="0" w:after="0"/>
        <w:ind w:left="318" w:right="415" w:firstLine="0"/>
        <w:jc w:val="both"/>
        <w:rPr>
          <w:sz w:val="22"/>
        </w:rPr>
      </w:pPr>
      <w:r>
        <w:rPr>
          <w:sz w:val="22"/>
        </w:rPr>
        <w:t>AGREES to keep these Guidelines under review in the light of experience gained with their</w:t>
      </w:r>
      <w:r>
        <w:rPr>
          <w:spacing w:val="-2"/>
          <w:sz w:val="22"/>
        </w:rPr>
        <w:t> </w:t>
      </w:r>
      <w:r>
        <w:rPr>
          <w:sz w:val="22"/>
        </w:rPr>
        <w:t>application;</w:t>
      </w:r>
    </w:p>
    <w:p>
      <w:pPr>
        <w:pStyle w:val="BodyText"/>
      </w:pPr>
    </w:p>
    <w:p>
      <w:pPr>
        <w:pStyle w:val="ListParagraph"/>
        <w:numPr>
          <w:ilvl w:val="0"/>
          <w:numId w:val="1"/>
        </w:numPr>
        <w:tabs>
          <w:tab w:pos="1170" w:val="left" w:leader="none"/>
          <w:tab w:pos="1171" w:val="left" w:leader="none"/>
        </w:tabs>
        <w:spacing w:line="240" w:lineRule="auto" w:before="0" w:after="0"/>
        <w:ind w:left="1170" w:right="0" w:hanging="853"/>
        <w:jc w:val="both"/>
        <w:rPr>
          <w:sz w:val="22"/>
        </w:rPr>
      </w:pPr>
      <w:r>
        <w:rPr>
          <w:sz w:val="22"/>
        </w:rPr>
        <w:t>SUPERSEDES the 2009 EGCS Guidelines adopted by resolution</w:t>
      </w:r>
      <w:r>
        <w:rPr>
          <w:spacing w:val="-10"/>
          <w:sz w:val="22"/>
        </w:rPr>
        <w:t> </w:t>
      </w:r>
      <w:r>
        <w:rPr>
          <w:sz w:val="22"/>
        </w:rPr>
        <w:t>MEPC.184(59).</w:t>
      </w:r>
    </w:p>
    <w:p>
      <w:pPr>
        <w:spacing w:after="0" w:line="240" w:lineRule="auto"/>
        <w:jc w:val="both"/>
        <w:rPr>
          <w:sz w:val="22"/>
        </w:rPr>
        <w:sectPr>
          <w:headerReference w:type="default" r:id="rId5"/>
          <w:headerReference w:type="even" r:id="rId6"/>
          <w:footerReference w:type="default" r:id="rId7"/>
          <w:footerReference w:type="even" r:id="rId8"/>
          <w:type w:val="continuous"/>
          <w:pgSz w:w="11910" w:h="16840"/>
          <w:pgMar w:header="856" w:footer="865" w:top="1540" w:bottom="1000" w:left="1100" w:right="1000"/>
          <w:pgNumType w:start="1"/>
        </w:sectPr>
      </w:pPr>
    </w:p>
    <w:p>
      <w:pPr>
        <w:pStyle w:val="BodyText"/>
        <w:spacing w:before="89"/>
        <w:ind w:left="327" w:right="427"/>
        <w:jc w:val="center"/>
      </w:pPr>
      <w:r>
        <w:rPr/>
        <w:t>ANNEX</w:t>
      </w:r>
    </w:p>
    <w:p>
      <w:pPr>
        <w:pStyle w:val="BodyText"/>
        <w:spacing w:before="9"/>
        <w:rPr>
          <w:sz w:val="21"/>
        </w:rPr>
      </w:pPr>
    </w:p>
    <w:p>
      <w:pPr>
        <w:pStyle w:val="Heading1"/>
        <w:ind w:left="327" w:right="422" w:firstLine="0"/>
        <w:jc w:val="center"/>
      </w:pPr>
      <w:r>
        <w:rPr/>
        <w:t>2015 GUIDELINES FOR EXHAUST GAS CLEANING SYSTEMS</w:t>
      </w:r>
    </w:p>
    <w:p>
      <w:pPr>
        <w:pStyle w:val="BodyText"/>
        <w:rPr>
          <w:b/>
          <w:sz w:val="24"/>
        </w:rPr>
      </w:pPr>
    </w:p>
    <w:p>
      <w:pPr>
        <w:pStyle w:val="BodyText"/>
        <w:rPr>
          <w:b/>
          <w:sz w:val="20"/>
        </w:rPr>
      </w:pPr>
    </w:p>
    <w:p>
      <w:pPr>
        <w:pStyle w:val="ListParagraph"/>
        <w:numPr>
          <w:ilvl w:val="0"/>
          <w:numId w:val="2"/>
        </w:numPr>
        <w:tabs>
          <w:tab w:pos="1170" w:val="left" w:leader="none"/>
          <w:tab w:pos="1171" w:val="left" w:leader="none"/>
        </w:tabs>
        <w:spacing w:line="240" w:lineRule="auto" w:before="0" w:after="0"/>
        <w:ind w:left="1170" w:right="0" w:hanging="853"/>
        <w:jc w:val="both"/>
        <w:rPr>
          <w:b/>
          <w:sz w:val="22"/>
        </w:rPr>
      </w:pPr>
      <w:r>
        <w:rPr>
          <w:b/>
          <w:sz w:val="22"/>
        </w:rPr>
        <w:t>INTRODUCTION</w:t>
      </w:r>
    </w:p>
    <w:p>
      <w:pPr>
        <w:pStyle w:val="BodyText"/>
        <w:spacing w:before="3"/>
        <w:rPr>
          <w:b/>
        </w:rPr>
      </w:pPr>
    </w:p>
    <w:p>
      <w:pPr>
        <w:pStyle w:val="ListParagraph"/>
        <w:numPr>
          <w:ilvl w:val="1"/>
          <w:numId w:val="2"/>
        </w:numPr>
        <w:tabs>
          <w:tab w:pos="1171" w:val="left" w:leader="none"/>
        </w:tabs>
        <w:spacing w:line="240" w:lineRule="auto" w:before="0" w:after="0"/>
        <w:ind w:left="318" w:right="415" w:firstLine="0"/>
        <w:jc w:val="both"/>
        <w:rPr>
          <w:sz w:val="22"/>
        </w:rPr>
      </w:pPr>
      <w:r>
        <w:rPr>
          <w:sz w:val="22"/>
        </w:rPr>
        <w:t>Regulation 14 of Annex VI requires ships to use fuel oil with a sulphur content not exceeding that stipulated in regulations 14.1 or 14.4. Regulation 4 allows, with the approval of the Administration, the use of an alternative compliance method at least as effective in terms of emission reductions as that required by the Annex, including the standards set forth in regulation 14. The Administration of a Party should take into account any relevant guidelines developed by the Organization pertaining to alternatives provided for  in  regulation 4.</w:t>
      </w:r>
    </w:p>
    <w:p>
      <w:pPr>
        <w:pStyle w:val="BodyText"/>
        <w:spacing w:before="10"/>
        <w:rPr>
          <w:sz w:val="21"/>
        </w:rPr>
      </w:pPr>
    </w:p>
    <w:p>
      <w:pPr>
        <w:pStyle w:val="ListParagraph"/>
        <w:numPr>
          <w:ilvl w:val="1"/>
          <w:numId w:val="2"/>
        </w:numPr>
        <w:tabs>
          <w:tab w:pos="1171" w:val="left" w:leader="none"/>
        </w:tabs>
        <w:spacing w:line="240" w:lineRule="auto" w:before="0" w:after="0"/>
        <w:ind w:left="318" w:right="413" w:firstLine="0"/>
        <w:jc w:val="both"/>
        <w:rPr>
          <w:sz w:val="22"/>
        </w:rPr>
      </w:pPr>
      <w:r>
        <w:rPr>
          <w:position w:val="2"/>
          <w:sz w:val="22"/>
        </w:rPr>
        <w:t>Similar to a NO</w:t>
      </w:r>
      <w:r>
        <w:rPr>
          <w:sz w:val="14"/>
        </w:rPr>
        <w:t>X </w:t>
      </w:r>
      <w:r>
        <w:rPr>
          <w:position w:val="2"/>
          <w:sz w:val="22"/>
        </w:rPr>
        <w:t>emission reduction system, an exhaust gas cleaning (EGC) unit</w:t>
      </w:r>
      <w:r>
        <w:rPr>
          <w:sz w:val="22"/>
        </w:rPr>
        <w:t> may be approved subject to periodic parameter and emission checks or the system may be equipped with a continuous emission monitoring system. These guidelines have been developed with the intention of being objective and performance oriented. Furthermore, use</w:t>
      </w:r>
      <w:r>
        <w:rPr>
          <w:position w:val="2"/>
          <w:sz w:val="22"/>
        </w:rPr>
        <w:t> of the SO</w:t>
      </w:r>
      <w:r>
        <w:rPr>
          <w:sz w:val="14"/>
        </w:rPr>
        <w:t>2</w:t>
      </w:r>
      <w:r>
        <w:rPr>
          <w:position w:val="2"/>
          <w:sz w:val="22"/>
        </w:rPr>
        <w:t>(ppm)/CO</w:t>
      </w:r>
      <w:r>
        <w:rPr>
          <w:sz w:val="14"/>
        </w:rPr>
        <w:t>2</w:t>
      </w:r>
      <w:r>
        <w:rPr>
          <w:position w:val="2"/>
          <w:sz w:val="22"/>
        </w:rPr>
        <w:t>(%) ratio method will simplify the monitoring of SO</w:t>
      </w:r>
      <w:r>
        <w:rPr>
          <w:sz w:val="14"/>
        </w:rPr>
        <w:t>X </w:t>
      </w:r>
      <w:r>
        <w:rPr>
          <w:position w:val="2"/>
          <w:sz w:val="22"/>
        </w:rPr>
        <w:t>emission and</w:t>
      </w:r>
      <w:r>
        <w:rPr>
          <w:sz w:val="22"/>
        </w:rPr>
        <w:t> facilitate approval of an EGC unit. See appendix II for the rationale explaining the use of</w:t>
      </w:r>
      <w:r>
        <w:rPr>
          <w:position w:val="2"/>
          <w:sz w:val="22"/>
        </w:rPr>
        <w:t> SO</w:t>
      </w:r>
      <w:r>
        <w:rPr>
          <w:sz w:val="14"/>
        </w:rPr>
        <w:t>2</w:t>
      </w:r>
      <w:r>
        <w:rPr>
          <w:position w:val="2"/>
          <w:sz w:val="22"/>
        </w:rPr>
        <w:t>(ppm)/CO</w:t>
      </w:r>
      <w:r>
        <w:rPr>
          <w:sz w:val="14"/>
        </w:rPr>
        <w:t>2</w:t>
      </w:r>
      <w:r>
        <w:rPr>
          <w:position w:val="2"/>
          <w:sz w:val="22"/>
        </w:rPr>
        <w:t>(%) as the basis for system</w:t>
      </w:r>
      <w:r>
        <w:rPr>
          <w:spacing w:val="-8"/>
          <w:position w:val="2"/>
          <w:sz w:val="22"/>
        </w:rPr>
        <w:t> </w:t>
      </w:r>
      <w:r>
        <w:rPr>
          <w:position w:val="2"/>
          <w:sz w:val="22"/>
        </w:rPr>
        <w:t>monitoring.</w:t>
      </w:r>
    </w:p>
    <w:p>
      <w:pPr>
        <w:pStyle w:val="BodyText"/>
        <w:spacing w:before="7"/>
        <w:rPr>
          <w:sz w:val="21"/>
        </w:rPr>
      </w:pPr>
    </w:p>
    <w:p>
      <w:pPr>
        <w:pStyle w:val="ListParagraph"/>
        <w:numPr>
          <w:ilvl w:val="1"/>
          <w:numId w:val="2"/>
        </w:numPr>
        <w:tabs>
          <w:tab w:pos="1171" w:val="left" w:leader="none"/>
        </w:tabs>
        <w:spacing w:line="237" w:lineRule="auto" w:before="0" w:after="0"/>
        <w:ind w:left="318" w:right="414" w:firstLine="0"/>
        <w:jc w:val="both"/>
        <w:rPr>
          <w:sz w:val="22"/>
        </w:rPr>
      </w:pPr>
      <w:r>
        <w:rPr>
          <w:position w:val="2"/>
          <w:sz w:val="22"/>
        </w:rPr>
        <w:t>Compliance should be demonstrated on the basis of the SO</w:t>
      </w:r>
      <w:r>
        <w:rPr>
          <w:sz w:val="14"/>
        </w:rPr>
        <w:t>2</w:t>
      </w:r>
      <w:r>
        <w:rPr>
          <w:position w:val="2"/>
          <w:sz w:val="22"/>
        </w:rPr>
        <w:t>(ppm)/CO</w:t>
      </w:r>
      <w:r>
        <w:rPr>
          <w:sz w:val="14"/>
        </w:rPr>
        <w:t>2</w:t>
      </w:r>
      <w:r>
        <w:rPr>
          <w:position w:val="2"/>
          <w:sz w:val="22"/>
        </w:rPr>
        <w:t>(% v/v) ratio</w:t>
      </w:r>
      <w:r>
        <w:rPr>
          <w:sz w:val="22"/>
        </w:rPr>
        <w:t> values.</w:t>
      </w:r>
    </w:p>
    <w:p>
      <w:pPr>
        <w:pStyle w:val="BodyText"/>
        <w:spacing w:before="9"/>
        <w:rPr>
          <w:sz w:val="21"/>
        </w:rPr>
      </w:pPr>
    </w:p>
    <w:p>
      <w:pPr>
        <w:pStyle w:val="Heading1"/>
        <w:ind w:left="327" w:right="427" w:firstLine="0"/>
        <w:jc w:val="center"/>
      </w:pPr>
      <w:r>
        <w:rPr/>
        <w:t>Table 1: Fuel oil sulphur limits recorded in regulations 14.1 and 14.4 and corresponding emissions values</w:t>
      </w:r>
    </w:p>
    <w:p>
      <w:pPr>
        <w:pStyle w:val="BodyText"/>
        <w:spacing w:before="4"/>
        <w:rPr>
          <w:b/>
        </w:r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3"/>
        <w:gridCol w:w="5324"/>
      </w:tblGrid>
      <w:tr>
        <w:trPr>
          <w:trHeight w:val="506" w:hRule="atLeast"/>
        </w:trPr>
        <w:tc>
          <w:tcPr>
            <w:tcW w:w="3963" w:type="dxa"/>
          </w:tcPr>
          <w:p>
            <w:pPr>
              <w:pStyle w:val="TableParagraph"/>
              <w:spacing w:line="254" w:lineRule="exact"/>
              <w:ind w:left="1565" w:right="816" w:hanging="723"/>
              <w:jc w:val="left"/>
              <w:rPr>
                <w:sz w:val="22"/>
              </w:rPr>
            </w:pPr>
            <w:r>
              <w:rPr>
                <w:sz w:val="22"/>
              </w:rPr>
              <w:t>Fuel oil sulphur content (% m/m)</w:t>
            </w:r>
          </w:p>
        </w:tc>
        <w:tc>
          <w:tcPr>
            <w:tcW w:w="5324" w:type="dxa"/>
          </w:tcPr>
          <w:p>
            <w:pPr>
              <w:pStyle w:val="TableParagraph"/>
              <w:spacing w:line="250" w:lineRule="exact"/>
              <w:ind w:left="1578" w:right="1568"/>
              <w:rPr>
                <w:sz w:val="22"/>
              </w:rPr>
            </w:pPr>
            <w:r>
              <w:rPr>
                <w:sz w:val="22"/>
              </w:rPr>
              <w:t>Ratio emission</w:t>
            </w:r>
          </w:p>
          <w:p>
            <w:pPr>
              <w:pStyle w:val="TableParagraph"/>
              <w:spacing w:line="235" w:lineRule="exact"/>
              <w:ind w:left="1578" w:right="1572"/>
              <w:rPr>
                <w:sz w:val="22"/>
              </w:rPr>
            </w:pPr>
            <w:r>
              <w:rPr>
                <w:position w:val="2"/>
                <w:sz w:val="22"/>
              </w:rPr>
              <w:t>SO</w:t>
            </w:r>
            <w:r>
              <w:rPr>
                <w:sz w:val="14"/>
              </w:rPr>
              <w:t>2</w:t>
            </w:r>
            <w:r>
              <w:rPr>
                <w:position w:val="2"/>
                <w:sz w:val="22"/>
              </w:rPr>
              <w:t>(ppm)/CO</w:t>
            </w:r>
            <w:r>
              <w:rPr>
                <w:sz w:val="14"/>
              </w:rPr>
              <w:t>2</w:t>
            </w:r>
            <w:r>
              <w:rPr>
                <w:position w:val="2"/>
                <w:sz w:val="22"/>
              </w:rPr>
              <w:t>(% v/v)</w:t>
            </w:r>
          </w:p>
        </w:tc>
      </w:tr>
      <w:tr>
        <w:trPr>
          <w:trHeight w:val="252" w:hRule="atLeast"/>
        </w:trPr>
        <w:tc>
          <w:tcPr>
            <w:tcW w:w="3963" w:type="dxa"/>
          </w:tcPr>
          <w:p>
            <w:pPr>
              <w:pStyle w:val="TableParagraph"/>
              <w:spacing w:line="232" w:lineRule="exact"/>
              <w:ind w:left="1746" w:right="1737"/>
              <w:rPr>
                <w:sz w:val="22"/>
              </w:rPr>
            </w:pPr>
            <w:r>
              <w:rPr>
                <w:sz w:val="22"/>
              </w:rPr>
              <w:t>4.50</w:t>
            </w:r>
          </w:p>
        </w:tc>
        <w:tc>
          <w:tcPr>
            <w:tcW w:w="5324" w:type="dxa"/>
          </w:tcPr>
          <w:p>
            <w:pPr>
              <w:pStyle w:val="TableParagraph"/>
              <w:spacing w:line="232" w:lineRule="exact"/>
              <w:ind w:left="1578" w:right="1568"/>
              <w:rPr>
                <w:sz w:val="22"/>
              </w:rPr>
            </w:pPr>
            <w:r>
              <w:rPr>
                <w:sz w:val="22"/>
              </w:rPr>
              <w:t>195.0</w:t>
            </w:r>
          </w:p>
        </w:tc>
      </w:tr>
      <w:tr>
        <w:trPr>
          <w:trHeight w:val="251" w:hRule="atLeast"/>
        </w:trPr>
        <w:tc>
          <w:tcPr>
            <w:tcW w:w="3963" w:type="dxa"/>
          </w:tcPr>
          <w:p>
            <w:pPr>
              <w:pStyle w:val="TableParagraph"/>
              <w:spacing w:line="232" w:lineRule="exact"/>
              <w:ind w:left="1746" w:right="1737"/>
              <w:rPr>
                <w:sz w:val="22"/>
              </w:rPr>
            </w:pPr>
            <w:r>
              <w:rPr>
                <w:sz w:val="22"/>
              </w:rPr>
              <w:t>3.50</w:t>
            </w:r>
          </w:p>
        </w:tc>
        <w:tc>
          <w:tcPr>
            <w:tcW w:w="5324" w:type="dxa"/>
          </w:tcPr>
          <w:p>
            <w:pPr>
              <w:pStyle w:val="TableParagraph"/>
              <w:spacing w:line="232" w:lineRule="exact"/>
              <w:ind w:left="1578" w:right="1568"/>
              <w:rPr>
                <w:sz w:val="22"/>
              </w:rPr>
            </w:pPr>
            <w:r>
              <w:rPr>
                <w:sz w:val="22"/>
              </w:rPr>
              <w:t>151.7</w:t>
            </w:r>
          </w:p>
        </w:tc>
      </w:tr>
      <w:tr>
        <w:trPr>
          <w:trHeight w:val="253" w:hRule="atLeast"/>
        </w:trPr>
        <w:tc>
          <w:tcPr>
            <w:tcW w:w="3963" w:type="dxa"/>
          </w:tcPr>
          <w:p>
            <w:pPr>
              <w:pStyle w:val="TableParagraph"/>
              <w:spacing w:line="234" w:lineRule="exact"/>
              <w:ind w:left="1746" w:right="1737"/>
              <w:rPr>
                <w:sz w:val="22"/>
              </w:rPr>
            </w:pPr>
            <w:r>
              <w:rPr>
                <w:sz w:val="22"/>
              </w:rPr>
              <w:t>1.50</w:t>
            </w:r>
          </w:p>
        </w:tc>
        <w:tc>
          <w:tcPr>
            <w:tcW w:w="5324" w:type="dxa"/>
          </w:tcPr>
          <w:p>
            <w:pPr>
              <w:pStyle w:val="TableParagraph"/>
              <w:spacing w:line="234" w:lineRule="exact"/>
              <w:ind w:left="1578" w:right="1565"/>
              <w:rPr>
                <w:sz w:val="22"/>
              </w:rPr>
            </w:pPr>
            <w:r>
              <w:rPr>
                <w:sz w:val="22"/>
              </w:rPr>
              <w:t>65.0</w:t>
            </w:r>
          </w:p>
        </w:tc>
      </w:tr>
      <w:tr>
        <w:trPr>
          <w:trHeight w:val="251" w:hRule="atLeast"/>
        </w:trPr>
        <w:tc>
          <w:tcPr>
            <w:tcW w:w="3963" w:type="dxa"/>
          </w:tcPr>
          <w:p>
            <w:pPr>
              <w:pStyle w:val="TableParagraph"/>
              <w:spacing w:line="232" w:lineRule="exact"/>
              <w:ind w:left="1746" w:right="1737"/>
              <w:rPr>
                <w:sz w:val="22"/>
              </w:rPr>
            </w:pPr>
            <w:r>
              <w:rPr>
                <w:sz w:val="22"/>
              </w:rPr>
              <w:t>1.00</w:t>
            </w:r>
          </w:p>
        </w:tc>
        <w:tc>
          <w:tcPr>
            <w:tcW w:w="5324" w:type="dxa"/>
          </w:tcPr>
          <w:p>
            <w:pPr>
              <w:pStyle w:val="TableParagraph"/>
              <w:spacing w:line="232" w:lineRule="exact"/>
              <w:ind w:left="1578" w:right="1565"/>
              <w:rPr>
                <w:sz w:val="22"/>
              </w:rPr>
            </w:pPr>
            <w:r>
              <w:rPr>
                <w:sz w:val="22"/>
              </w:rPr>
              <w:t>43.3</w:t>
            </w:r>
          </w:p>
        </w:tc>
      </w:tr>
      <w:tr>
        <w:trPr>
          <w:trHeight w:val="253" w:hRule="atLeast"/>
        </w:trPr>
        <w:tc>
          <w:tcPr>
            <w:tcW w:w="3963" w:type="dxa"/>
          </w:tcPr>
          <w:p>
            <w:pPr>
              <w:pStyle w:val="TableParagraph"/>
              <w:spacing w:line="234" w:lineRule="exact"/>
              <w:ind w:left="1746" w:right="1737"/>
              <w:rPr>
                <w:sz w:val="22"/>
              </w:rPr>
            </w:pPr>
            <w:r>
              <w:rPr>
                <w:sz w:val="22"/>
              </w:rPr>
              <w:t>0.50</w:t>
            </w:r>
          </w:p>
        </w:tc>
        <w:tc>
          <w:tcPr>
            <w:tcW w:w="5324" w:type="dxa"/>
          </w:tcPr>
          <w:p>
            <w:pPr>
              <w:pStyle w:val="TableParagraph"/>
              <w:spacing w:line="234" w:lineRule="exact"/>
              <w:ind w:left="1578" w:right="1565"/>
              <w:rPr>
                <w:sz w:val="22"/>
              </w:rPr>
            </w:pPr>
            <w:r>
              <w:rPr>
                <w:sz w:val="22"/>
              </w:rPr>
              <w:t>21.7</w:t>
            </w:r>
          </w:p>
        </w:tc>
      </w:tr>
      <w:tr>
        <w:trPr>
          <w:trHeight w:val="254" w:hRule="atLeast"/>
        </w:trPr>
        <w:tc>
          <w:tcPr>
            <w:tcW w:w="3963" w:type="dxa"/>
          </w:tcPr>
          <w:p>
            <w:pPr>
              <w:pStyle w:val="TableParagraph"/>
              <w:spacing w:line="234" w:lineRule="exact"/>
              <w:ind w:left="1746" w:right="1737"/>
              <w:rPr>
                <w:sz w:val="22"/>
              </w:rPr>
            </w:pPr>
            <w:r>
              <w:rPr>
                <w:sz w:val="22"/>
              </w:rPr>
              <w:t>0.10</w:t>
            </w:r>
          </w:p>
        </w:tc>
        <w:tc>
          <w:tcPr>
            <w:tcW w:w="5324" w:type="dxa"/>
          </w:tcPr>
          <w:p>
            <w:pPr>
              <w:pStyle w:val="TableParagraph"/>
              <w:spacing w:line="234" w:lineRule="exact"/>
              <w:ind w:left="1578" w:right="1568"/>
              <w:rPr>
                <w:sz w:val="22"/>
              </w:rPr>
            </w:pPr>
            <w:r>
              <w:rPr>
                <w:sz w:val="22"/>
              </w:rPr>
              <w:t>4.3</w:t>
            </w:r>
          </w:p>
        </w:tc>
      </w:tr>
    </w:tbl>
    <w:p>
      <w:pPr>
        <w:tabs>
          <w:tab w:pos="1038" w:val="left" w:leader="none"/>
        </w:tabs>
        <w:spacing w:before="119"/>
        <w:ind w:left="1038" w:right="413" w:hanging="720"/>
        <w:jc w:val="left"/>
        <w:rPr>
          <w:sz w:val="18"/>
        </w:rPr>
      </w:pPr>
      <w:r>
        <w:rPr>
          <w:sz w:val="18"/>
        </w:rPr>
        <w:t>Note:</w:t>
        <w:tab/>
        <w:t>The use of the ratio emissions limits is only applicable when using petroleum based distillate or residual fuel oils. See appendix II for application of the ratio</w:t>
      </w:r>
      <w:r>
        <w:rPr>
          <w:spacing w:val="-12"/>
          <w:sz w:val="18"/>
        </w:rPr>
        <w:t> </w:t>
      </w:r>
      <w:r>
        <w:rPr>
          <w:sz w:val="18"/>
        </w:rPr>
        <w:t>method.</w:t>
      </w:r>
    </w:p>
    <w:p>
      <w:pPr>
        <w:pStyle w:val="BodyText"/>
        <w:spacing w:before="10"/>
        <w:rPr>
          <w:sz w:val="21"/>
        </w:rPr>
      </w:pPr>
    </w:p>
    <w:p>
      <w:pPr>
        <w:pStyle w:val="ListParagraph"/>
        <w:numPr>
          <w:ilvl w:val="1"/>
          <w:numId w:val="2"/>
        </w:numPr>
        <w:tabs>
          <w:tab w:pos="1171" w:val="left" w:leader="none"/>
        </w:tabs>
        <w:spacing w:line="240" w:lineRule="auto" w:before="0" w:after="0"/>
        <w:ind w:left="318" w:right="416" w:firstLine="0"/>
        <w:jc w:val="both"/>
        <w:rPr>
          <w:sz w:val="22"/>
        </w:rPr>
      </w:pPr>
      <w:r>
        <w:rPr>
          <w:sz w:val="22"/>
        </w:rPr>
        <w:t>These guidelines are recommendatory in nature, however, Administrations are invited to base the implementation of the relevant requirements of regulation 4 of MARPOL Annex VI on</w:t>
      </w:r>
      <w:r>
        <w:rPr>
          <w:spacing w:val="-2"/>
          <w:sz w:val="22"/>
        </w:rPr>
        <w:t> </w:t>
      </w:r>
      <w:r>
        <w:rPr>
          <w:sz w:val="22"/>
        </w:rPr>
        <w:t>them.</w:t>
      </w:r>
    </w:p>
    <w:p>
      <w:pPr>
        <w:pStyle w:val="BodyText"/>
        <w:spacing w:before="7"/>
        <w:rPr>
          <w:sz w:val="21"/>
        </w:rPr>
      </w:pPr>
    </w:p>
    <w:p>
      <w:pPr>
        <w:pStyle w:val="Heading1"/>
        <w:numPr>
          <w:ilvl w:val="0"/>
          <w:numId w:val="2"/>
        </w:numPr>
        <w:tabs>
          <w:tab w:pos="1170" w:val="left" w:leader="none"/>
          <w:tab w:pos="1171" w:val="left" w:leader="none"/>
        </w:tabs>
        <w:spacing w:line="240" w:lineRule="auto" w:before="1" w:after="0"/>
        <w:ind w:left="1170" w:right="0" w:hanging="853"/>
        <w:jc w:val="both"/>
      </w:pPr>
      <w:r>
        <w:rPr/>
        <w:t>GENERAL</w:t>
      </w:r>
    </w:p>
    <w:p>
      <w:pPr>
        <w:pStyle w:val="BodyText"/>
        <w:spacing w:before="1"/>
        <w:rPr>
          <w:b/>
        </w:rPr>
      </w:pPr>
    </w:p>
    <w:p>
      <w:pPr>
        <w:pStyle w:val="ListParagraph"/>
        <w:numPr>
          <w:ilvl w:val="1"/>
          <w:numId w:val="2"/>
        </w:numPr>
        <w:tabs>
          <w:tab w:pos="1171" w:val="left" w:leader="none"/>
        </w:tabs>
        <w:spacing w:line="240" w:lineRule="auto" w:before="0" w:after="0"/>
        <w:ind w:left="1170" w:right="0" w:hanging="853"/>
        <w:jc w:val="both"/>
        <w:rPr>
          <w:b/>
          <w:sz w:val="22"/>
        </w:rPr>
      </w:pPr>
      <w:r>
        <w:rPr>
          <w:b/>
          <w:sz w:val="22"/>
        </w:rPr>
        <w:t>Purpose</w:t>
      </w:r>
    </w:p>
    <w:p>
      <w:pPr>
        <w:pStyle w:val="BodyText"/>
        <w:spacing w:before="2"/>
        <w:rPr>
          <w:b/>
        </w:rPr>
      </w:pPr>
    </w:p>
    <w:p>
      <w:pPr>
        <w:pStyle w:val="ListParagraph"/>
        <w:numPr>
          <w:ilvl w:val="2"/>
          <w:numId w:val="2"/>
        </w:numPr>
        <w:tabs>
          <w:tab w:pos="1171" w:val="left" w:leader="none"/>
        </w:tabs>
        <w:spacing w:line="240" w:lineRule="auto" w:before="1" w:after="0"/>
        <w:ind w:left="318" w:right="414" w:firstLine="0"/>
        <w:jc w:val="both"/>
        <w:rPr>
          <w:sz w:val="22"/>
        </w:rPr>
      </w:pPr>
      <w:r>
        <w:rPr>
          <w:sz w:val="22"/>
        </w:rPr>
        <w:t>The purpose of these guidelines is to specify the requirements for the testing, survey certification and verification of EGC systems under regulation 4 of MARPOL Annex VI to ensure that they provide effective equivalence to  the  requirements  of  regulations  14.1  and 14.4 of MARPOL Annex</w:t>
      </w:r>
      <w:r>
        <w:rPr>
          <w:spacing w:val="-3"/>
          <w:sz w:val="22"/>
        </w:rPr>
        <w:t> </w:t>
      </w:r>
      <w:r>
        <w:rPr>
          <w:sz w:val="22"/>
        </w:rPr>
        <w:t>VI.</w:t>
      </w:r>
    </w:p>
    <w:p>
      <w:pPr>
        <w:spacing w:after="0" w:line="240" w:lineRule="auto"/>
        <w:jc w:val="both"/>
        <w:rPr>
          <w:sz w:val="22"/>
        </w:rPr>
        <w:sectPr>
          <w:pgSz w:w="11910" w:h="16840"/>
          <w:pgMar w:header="856" w:footer="805" w:top="1540" w:bottom="1060" w:left="1100" w:right="1000"/>
        </w:sectPr>
      </w:pPr>
    </w:p>
    <w:p>
      <w:pPr>
        <w:pStyle w:val="ListParagraph"/>
        <w:numPr>
          <w:ilvl w:val="2"/>
          <w:numId w:val="2"/>
        </w:numPr>
        <w:tabs>
          <w:tab w:pos="1171" w:val="left" w:leader="none"/>
        </w:tabs>
        <w:spacing w:line="240" w:lineRule="auto" w:before="89" w:after="0"/>
        <w:ind w:left="318" w:right="415" w:firstLine="0"/>
        <w:jc w:val="both"/>
        <w:rPr>
          <w:sz w:val="22"/>
        </w:rPr>
      </w:pPr>
      <w:r>
        <w:rPr>
          <w:sz w:val="22"/>
        </w:rPr>
        <w:t>These guidelines permit two schemes: Scheme A (unit certification with parameter and emission checks and Scheme B (continuous emission monitoring with parameter checks).</w:t>
      </w:r>
    </w:p>
    <w:p>
      <w:pPr>
        <w:pStyle w:val="BodyText"/>
        <w:spacing w:before="1"/>
      </w:pPr>
    </w:p>
    <w:p>
      <w:pPr>
        <w:pStyle w:val="ListParagraph"/>
        <w:numPr>
          <w:ilvl w:val="2"/>
          <w:numId w:val="2"/>
        </w:numPr>
        <w:tabs>
          <w:tab w:pos="1171" w:val="left" w:leader="none"/>
        </w:tabs>
        <w:spacing w:line="240" w:lineRule="auto" w:before="0" w:after="0"/>
        <w:ind w:left="318" w:right="418" w:firstLine="0"/>
        <w:jc w:val="both"/>
        <w:rPr>
          <w:sz w:val="22"/>
        </w:rPr>
      </w:pPr>
      <w:r>
        <w:rPr>
          <w:sz w:val="22"/>
        </w:rPr>
        <w:t>For ships which are to use an exhaust gas cleaning system in part or in total in order to comply with regulations 14.1 and/or 14.4 of MARPOL Annex VI, there should be an</w:t>
      </w:r>
      <w:r>
        <w:rPr>
          <w:position w:val="2"/>
          <w:sz w:val="22"/>
        </w:rPr>
        <w:t> approved SO</w:t>
      </w:r>
      <w:r>
        <w:rPr>
          <w:sz w:val="14"/>
        </w:rPr>
        <w:t>X </w:t>
      </w:r>
      <w:r>
        <w:rPr>
          <w:position w:val="2"/>
          <w:sz w:val="22"/>
        </w:rPr>
        <w:t>Emissions Compliance Plan</w:t>
      </w:r>
      <w:r>
        <w:rPr>
          <w:spacing w:val="-22"/>
          <w:position w:val="2"/>
          <w:sz w:val="22"/>
        </w:rPr>
        <w:t> </w:t>
      </w:r>
      <w:r>
        <w:rPr>
          <w:position w:val="2"/>
          <w:sz w:val="22"/>
        </w:rPr>
        <w:t>(SECP).</w:t>
      </w:r>
    </w:p>
    <w:p>
      <w:pPr>
        <w:pStyle w:val="BodyText"/>
        <w:spacing w:before="7"/>
        <w:rPr>
          <w:sz w:val="21"/>
        </w:rPr>
      </w:pPr>
    </w:p>
    <w:p>
      <w:pPr>
        <w:pStyle w:val="Heading1"/>
        <w:numPr>
          <w:ilvl w:val="1"/>
          <w:numId w:val="2"/>
        </w:numPr>
        <w:tabs>
          <w:tab w:pos="1171" w:val="left" w:leader="none"/>
        </w:tabs>
        <w:spacing w:line="240" w:lineRule="auto" w:before="0" w:after="0"/>
        <w:ind w:left="1170" w:right="0" w:hanging="853"/>
        <w:jc w:val="both"/>
      </w:pPr>
      <w:r>
        <w:rPr/>
        <w:t>Application</w:t>
      </w:r>
    </w:p>
    <w:p>
      <w:pPr>
        <w:pStyle w:val="BodyText"/>
        <w:rPr>
          <w:b/>
        </w:rPr>
      </w:pPr>
    </w:p>
    <w:p>
      <w:pPr>
        <w:pStyle w:val="ListParagraph"/>
        <w:numPr>
          <w:ilvl w:val="2"/>
          <w:numId w:val="2"/>
        </w:numPr>
        <w:tabs>
          <w:tab w:pos="1171" w:val="left" w:leader="none"/>
        </w:tabs>
        <w:spacing w:line="240" w:lineRule="auto" w:before="0" w:after="0"/>
        <w:ind w:left="318" w:right="417" w:firstLine="0"/>
        <w:jc w:val="both"/>
        <w:rPr>
          <w:sz w:val="22"/>
        </w:rPr>
      </w:pPr>
      <w:r>
        <w:rPr>
          <w:sz w:val="22"/>
        </w:rPr>
        <w:t>These guidelines apply to any EGC unit as fitted to fuel oil combustion machinery, excluding shipboard incinerators, installed on board a</w:t>
      </w:r>
      <w:r>
        <w:rPr>
          <w:spacing w:val="-4"/>
          <w:sz w:val="22"/>
        </w:rPr>
        <w:t> </w:t>
      </w:r>
      <w:r>
        <w:rPr>
          <w:sz w:val="22"/>
        </w:rPr>
        <w:t>ship.</w:t>
      </w:r>
    </w:p>
    <w:p>
      <w:pPr>
        <w:pStyle w:val="BodyText"/>
        <w:spacing w:before="11"/>
        <w:rPr>
          <w:sz w:val="21"/>
        </w:rPr>
      </w:pPr>
    </w:p>
    <w:p>
      <w:pPr>
        <w:pStyle w:val="Heading1"/>
        <w:numPr>
          <w:ilvl w:val="1"/>
          <w:numId w:val="2"/>
        </w:numPr>
        <w:tabs>
          <w:tab w:pos="1171" w:val="left" w:leader="none"/>
        </w:tabs>
        <w:spacing w:line="240" w:lineRule="auto" w:before="0" w:after="0"/>
        <w:ind w:left="1170" w:right="0" w:hanging="853"/>
        <w:jc w:val="both"/>
      </w:pPr>
      <w:r>
        <w:rPr/>
        <w:t>Definitions and required</w:t>
      </w:r>
      <w:r>
        <w:rPr>
          <w:spacing w:val="-4"/>
        </w:rPr>
        <w:t> </w:t>
      </w:r>
      <w:r>
        <w:rPr/>
        <w:t>documents</w:t>
      </w:r>
    </w:p>
    <w:p>
      <w:pPr>
        <w:pStyle w:val="BodyText"/>
        <w:spacing w:before="3"/>
        <w:rPr>
          <w:b/>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7283"/>
      </w:tblGrid>
      <w:tr>
        <w:trPr>
          <w:trHeight w:val="506" w:hRule="atLeast"/>
        </w:trPr>
        <w:tc>
          <w:tcPr>
            <w:tcW w:w="1908" w:type="dxa"/>
            <w:tcBorders>
              <w:left w:val="single" w:sz="6" w:space="0" w:color="000000"/>
            </w:tcBorders>
          </w:tcPr>
          <w:p>
            <w:pPr>
              <w:pStyle w:val="TableParagraph"/>
              <w:spacing w:line="252" w:lineRule="exact" w:before="4"/>
              <w:ind w:left="105" w:right="229"/>
              <w:jc w:val="left"/>
              <w:rPr>
                <w:sz w:val="22"/>
              </w:rPr>
            </w:pPr>
            <w:r>
              <w:rPr>
                <w:sz w:val="22"/>
              </w:rPr>
              <w:t>Fuel oil combustion unit</w:t>
            </w:r>
          </w:p>
        </w:tc>
        <w:tc>
          <w:tcPr>
            <w:tcW w:w="7283" w:type="dxa"/>
          </w:tcPr>
          <w:p>
            <w:pPr>
              <w:pStyle w:val="TableParagraph"/>
              <w:spacing w:line="252" w:lineRule="exact" w:before="4"/>
              <w:ind w:left="108" w:right="89"/>
              <w:jc w:val="left"/>
              <w:rPr>
                <w:sz w:val="22"/>
              </w:rPr>
            </w:pPr>
            <w:r>
              <w:rPr>
                <w:sz w:val="22"/>
              </w:rPr>
              <w:t>Any engine, boiler, gas turbine, or other fuel oil fired equipment, excluding shipboard incinerators</w:t>
            </w:r>
          </w:p>
        </w:tc>
      </w:tr>
      <w:tr>
        <w:trPr>
          <w:trHeight w:val="252" w:hRule="atLeast"/>
        </w:trPr>
        <w:tc>
          <w:tcPr>
            <w:tcW w:w="1908" w:type="dxa"/>
            <w:tcBorders>
              <w:left w:val="single" w:sz="6" w:space="0" w:color="000000"/>
            </w:tcBorders>
          </w:tcPr>
          <w:p>
            <w:pPr>
              <w:pStyle w:val="TableParagraph"/>
              <w:spacing w:line="233" w:lineRule="exact"/>
              <w:ind w:left="105"/>
              <w:jc w:val="left"/>
              <w:rPr>
                <w:sz w:val="22"/>
              </w:rPr>
            </w:pPr>
            <w:r>
              <w:rPr>
                <w:sz w:val="22"/>
              </w:rPr>
              <w:t>EGC</w:t>
            </w:r>
          </w:p>
        </w:tc>
        <w:tc>
          <w:tcPr>
            <w:tcW w:w="7283" w:type="dxa"/>
          </w:tcPr>
          <w:p>
            <w:pPr>
              <w:pStyle w:val="TableParagraph"/>
              <w:spacing w:line="233" w:lineRule="exact"/>
              <w:ind w:left="108"/>
              <w:jc w:val="left"/>
              <w:rPr>
                <w:sz w:val="22"/>
              </w:rPr>
            </w:pPr>
            <w:r>
              <w:rPr>
                <w:sz w:val="22"/>
              </w:rPr>
              <w:t>Exhaust gas cleaning</w:t>
            </w:r>
          </w:p>
        </w:tc>
      </w:tr>
      <w:tr>
        <w:trPr>
          <w:trHeight w:val="254" w:hRule="atLeast"/>
        </w:trPr>
        <w:tc>
          <w:tcPr>
            <w:tcW w:w="1908" w:type="dxa"/>
            <w:tcBorders>
              <w:left w:val="single" w:sz="6" w:space="0" w:color="000000"/>
            </w:tcBorders>
          </w:tcPr>
          <w:p>
            <w:pPr>
              <w:pStyle w:val="TableParagraph"/>
              <w:spacing w:line="234" w:lineRule="exact"/>
              <w:ind w:left="105"/>
              <w:jc w:val="left"/>
              <w:rPr>
                <w:sz w:val="14"/>
              </w:rPr>
            </w:pPr>
            <w:r>
              <w:rPr>
                <w:position w:val="2"/>
                <w:sz w:val="22"/>
              </w:rPr>
              <w:t>SO</w:t>
            </w:r>
            <w:r>
              <w:rPr>
                <w:sz w:val="14"/>
              </w:rPr>
              <w:t>X</w:t>
            </w:r>
          </w:p>
        </w:tc>
        <w:tc>
          <w:tcPr>
            <w:tcW w:w="7283" w:type="dxa"/>
          </w:tcPr>
          <w:p>
            <w:pPr>
              <w:pStyle w:val="TableParagraph"/>
              <w:spacing w:line="234" w:lineRule="exact"/>
              <w:ind w:left="108"/>
              <w:jc w:val="left"/>
              <w:rPr>
                <w:sz w:val="22"/>
              </w:rPr>
            </w:pPr>
            <w:r>
              <w:rPr>
                <w:sz w:val="22"/>
              </w:rPr>
              <w:t>Sulphur oxides</w:t>
            </w:r>
          </w:p>
        </w:tc>
      </w:tr>
      <w:tr>
        <w:trPr>
          <w:trHeight w:val="251" w:hRule="atLeast"/>
        </w:trPr>
        <w:tc>
          <w:tcPr>
            <w:tcW w:w="1908" w:type="dxa"/>
            <w:tcBorders>
              <w:left w:val="single" w:sz="6" w:space="0" w:color="000000"/>
            </w:tcBorders>
          </w:tcPr>
          <w:p>
            <w:pPr>
              <w:pStyle w:val="TableParagraph"/>
              <w:spacing w:line="232" w:lineRule="exact"/>
              <w:ind w:left="105"/>
              <w:jc w:val="left"/>
              <w:rPr>
                <w:sz w:val="14"/>
              </w:rPr>
            </w:pPr>
            <w:r>
              <w:rPr>
                <w:position w:val="2"/>
                <w:sz w:val="22"/>
              </w:rPr>
              <w:t>SO</w:t>
            </w:r>
            <w:r>
              <w:rPr>
                <w:sz w:val="14"/>
              </w:rPr>
              <w:t>2</w:t>
            </w:r>
          </w:p>
        </w:tc>
        <w:tc>
          <w:tcPr>
            <w:tcW w:w="7283" w:type="dxa"/>
          </w:tcPr>
          <w:p>
            <w:pPr>
              <w:pStyle w:val="TableParagraph"/>
              <w:spacing w:line="232" w:lineRule="exact"/>
              <w:ind w:left="108"/>
              <w:jc w:val="left"/>
              <w:rPr>
                <w:sz w:val="22"/>
              </w:rPr>
            </w:pPr>
            <w:r>
              <w:rPr>
                <w:sz w:val="22"/>
              </w:rPr>
              <w:t>Sulphur dioxide</w:t>
            </w:r>
          </w:p>
        </w:tc>
      </w:tr>
      <w:tr>
        <w:trPr>
          <w:trHeight w:val="254" w:hRule="atLeast"/>
        </w:trPr>
        <w:tc>
          <w:tcPr>
            <w:tcW w:w="1908" w:type="dxa"/>
            <w:tcBorders>
              <w:left w:val="single" w:sz="6" w:space="0" w:color="000000"/>
            </w:tcBorders>
          </w:tcPr>
          <w:p>
            <w:pPr>
              <w:pStyle w:val="TableParagraph"/>
              <w:spacing w:line="234" w:lineRule="exact"/>
              <w:ind w:left="105"/>
              <w:jc w:val="left"/>
              <w:rPr>
                <w:sz w:val="14"/>
              </w:rPr>
            </w:pPr>
            <w:r>
              <w:rPr>
                <w:position w:val="2"/>
                <w:sz w:val="22"/>
              </w:rPr>
              <w:t>CO</w:t>
            </w:r>
            <w:r>
              <w:rPr>
                <w:sz w:val="14"/>
              </w:rPr>
              <w:t>2</w:t>
            </w:r>
          </w:p>
        </w:tc>
        <w:tc>
          <w:tcPr>
            <w:tcW w:w="7283" w:type="dxa"/>
          </w:tcPr>
          <w:p>
            <w:pPr>
              <w:pStyle w:val="TableParagraph"/>
              <w:spacing w:line="234" w:lineRule="exact"/>
              <w:ind w:left="108"/>
              <w:jc w:val="left"/>
              <w:rPr>
                <w:sz w:val="22"/>
              </w:rPr>
            </w:pPr>
            <w:r>
              <w:rPr>
                <w:sz w:val="22"/>
              </w:rPr>
              <w:t>Carbon dioxide</w:t>
            </w:r>
          </w:p>
        </w:tc>
      </w:tr>
      <w:tr>
        <w:trPr>
          <w:trHeight w:val="251" w:hRule="atLeast"/>
        </w:trPr>
        <w:tc>
          <w:tcPr>
            <w:tcW w:w="1908" w:type="dxa"/>
            <w:tcBorders>
              <w:left w:val="single" w:sz="6" w:space="0" w:color="000000"/>
            </w:tcBorders>
          </w:tcPr>
          <w:p>
            <w:pPr>
              <w:pStyle w:val="TableParagraph"/>
              <w:spacing w:line="232" w:lineRule="exact"/>
              <w:ind w:left="105"/>
              <w:jc w:val="left"/>
              <w:rPr>
                <w:sz w:val="22"/>
              </w:rPr>
            </w:pPr>
            <w:r>
              <w:rPr>
                <w:sz w:val="22"/>
              </w:rPr>
              <w:t>UTC</w:t>
            </w:r>
          </w:p>
        </w:tc>
        <w:tc>
          <w:tcPr>
            <w:tcW w:w="7283" w:type="dxa"/>
          </w:tcPr>
          <w:p>
            <w:pPr>
              <w:pStyle w:val="TableParagraph"/>
              <w:spacing w:line="232" w:lineRule="exact"/>
              <w:ind w:left="108"/>
              <w:jc w:val="left"/>
              <w:rPr>
                <w:sz w:val="22"/>
              </w:rPr>
            </w:pPr>
            <w:r>
              <w:rPr>
                <w:sz w:val="22"/>
              </w:rPr>
              <w:t>Universal Time Co-ordinated</w:t>
            </w:r>
          </w:p>
        </w:tc>
      </w:tr>
      <w:tr>
        <w:trPr>
          <w:trHeight w:val="760" w:hRule="atLeast"/>
        </w:trPr>
        <w:tc>
          <w:tcPr>
            <w:tcW w:w="1908" w:type="dxa"/>
            <w:tcBorders>
              <w:left w:val="single" w:sz="6" w:space="0" w:color="000000"/>
            </w:tcBorders>
          </w:tcPr>
          <w:p>
            <w:pPr>
              <w:pStyle w:val="TableParagraph"/>
              <w:spacing w:line="250" w:lineRule="exact"/>
              <w:ind w:left="105"/>
              <w:jc w:val="left"/>
              <w:rPr>
                <w:sz w:val="22"/>
              </w:rPr>
            </w:pPr>
            <w:r>
              <w:rPr>
                <w:sz w:val="22"/>
              </w:rPr>
              <w:t>Certified Value</w:t>
            </w:r>
          </w:p>
        </w:tc>
        <w:tc>
          <w:tcPr>
            <w:tcW w:w="7283" w:type="dxa"/>
          </w:tcPr>
          <w:p>
            <w:pPr>
              <w:pStyle w:val="TableParagraph"/>
              <w:ind w:left="108" w:right="89"/>
              <w:jc w:val="left"/>
              <w:rPr>
                <w:sz w:val="22"/>
              </w:rPr>
            </w:pPr>
            <w:r>
              <w:rPr>
                <w:position w:val="2"/>
                <w:sz w:val="22"/>
              </w:rPr>
              <w:t>The SO</w:t>
            </w:r>
            <w:r>
              <w:rPr>
                <w:sz w:val="14"/>
              </w:rPr>
              <w:t>2</w:t>
            </w:r>
            <w:r>
              <w:rPr>
                <w:position w:val="2"/>
                <w:sz w:val="22"/>
              </w:rPr>
              <w:t>/CO</w:t>
            </w:r>
            <w:r>
              <w:rPr>
                <w:sz w:val="14"/>
              </w:rPr>
              <w:t>2 </w:t>
            </w:r>
            <w:r>
              <w:rPr>
                <w:position w:val="2"/>
                <w:sz w:val="22"/>
              </w:rPr>
              <w:t>ratio specified by the manufacturer that the EGC unit is </w:t>
            </w:r>
            <w:r>
              <w:rPr>
                <w:sz w:val="22"/>
              </w:rPr>
              <w:t>certified as meeting when operating on a continuous basis on the</w:t>
            </w:r>
          </w:p>
          <w:p>
            <w:pPr>
              <w:pStyle w:val="TableParagraph"/>
              <w:spacing w:line="235" w:lineRule="exact"/>
              <w:ind w:left="108"/>
              <w:jc w:val="left"/>
              <w:rPr>
                <w:sz w:val="22"/>
              </w:rPr>
            </w:pPr>
            <w:r>
              <w:rPr>
                <w:sz w:val="22"/>
              </w:rPr>
              <w:t>manufacturers specified maximum fuel sulphur content</w:t>
            </w:r>
          </w:p>
        </w:tc>
      </w:tr>
      <w:tr>
        <w:trPr>
          <w:trHeight w:val="251" w:hRule="atLeast"/>
        </w:trPr>
        <w:tc>
          <w:tcPr>
            <w:tcW w:w="1908" w:type="dxa"/>
            <w:tcBorders>
              <w:left w:val="single" w:sz="6" w:space="0" w:color="000000"/>
            </w:tcBorders>
          </w:tcPr>
          <w:p>
            <w:pPr>
              <w:pStyle w:val="TableParagraph"/>
              <w:spacing w:line="232" w:lineRule="exact"/>
              <w:ind w:left="105"/>
              <w:jc w:val="left"/>
              <w:rPr>
                <w:sz w:val="22"/>
              </w:rPr>
            </w:pPr>
            <w:r>
              <w:rPr>
                <w:sz w:val="22"/>
              </w:rPr>
              <w:t>In situ</w:t>
            </w:r>
          </w:p>
        </w:tc>
        <w:tc>
          <w:tcPr>
            <w:tcW w:w="7283" w:type="dxa"/>
          </w:tcPr>
          <w:p>
            <w:pPr>
              <w:pStyle w:val="TableParagraph"/>
              <w:spacing w:line="232" w:lineRule="exact"/>
              <w:ind w:left="108"/>
              <w:jc w:val="left"/>
              <w:rPr>
                <w:sz w:val="22"/>
              </w:rPr>
            </w:pPr>
            <w:r>
              <w:rPr>
                <w:sz w:val="22"/>
              </w:rPr>
              <w:t>Sampling directly within an exhaust gas stream</w:t>
            </w:r>
          </w:p>
        </w:tc>
      </w:tr>
      <w:tr>
        <w:trPr>
          <w:trHeight w:val="254" w:hRule="atLeast"/>
        </w:trPr>
        <w:tc>
          <w:tcPr>
            <w:tcW w:w="1908" w:type="dxa"/>
            <w:tcBorders>
              <w:left w:val="single" w:sz="6" w:space="0" w:color="000000"/>
            </w:tcBorders>
          </w:tcPr>
          <w:p>
            <w:pPr>
              <w:pStyle w:val="TableParagraph"/>
              <w:spacing w:line="234" w:lineRule="exact"/>
              <w:ind w:left="105"/>
              <w:jc w:val="left"/>
              <w:rPr>
                <w:sz w:val="22"/>
              </w:rPr>
            </w:pPr>
            <w:r>
              <w:rPr>
                <w:sz w:val="22"/>
              </w:rPr>
              <w:t>MCR</w:t>
            </w:r>
          </w:p>
        </w:tc>
        <w:tc>
          <w:tcPr>
            <w:tcW w:w="7283" w:type="dxa"/>
          </w:tcPr>
          <w:p>
            <w:pPr>
              <w:pStyle w:val="TableParagraph"/>
              <w:spacing w:line="234" w:lineRule="exact"/>
              <w:ind w:left="108"/>
              <w:jc w:val="left"/>
              <w:rPr>
                <w:sz w:val="22"/>
              </w:rPr>
            </w:pPr>
            <w:r>
              <w:rPr>
                <w:sz w:val="22"/>
              </w:rPr>
              <w:t>Maximum Continuous Rating</w:t>
            </w:r>
          </w:p>
        </w:tc>
      </w:tr>
      <w:tr>
        <w:trPr>
          <w:trHeight w:val="505" w:hRule="atLeast"/>
        </w:trPr>
        <w:tc>
          <w:tcPr>
            <w:tcW w:w="1908" w:type="dxa"/>
            <w:tcBorders>
              <w:left w:val="single" w:sz="6" w:space="0" w:color="000000"/>
            </w:tcBorders>
          </w:tcPr>
          <w:p>
            <w:pPr>
              <w:pStyle w:val="TableParagraph"/>
              <w:spacing w:line="250" w:lineRule="exact"/>
              <w:ind w:left="105"/>
              <w:jc w:val="left"/>
              <w:rPr>
                <w:sz w:val="22"/>
              </w:rPr>
            </w:pPr>
            <w:r>
              <w:rPr>
                <w:sz w:val="22"/>
              </w:rPr>
              <w:t>Load range</w:t>
            </w:r>
          </w:p>
        </w:tc>
        <w:tc>
          <w:tcPr>
            <w:tcW w:w="7283" w:type="dxa"/>
          </w:tcPr>
          <w:p>
            <w:pPr>
              <w:pStyle w:val="TableParagraph"/>
              <w:spacing w:line="252" w:lineRule="exact" w:before="2"/>
              <w:ind w:left="108" w:right="89"/>
              <w:jc w:val="left"/>
              <w:rPr>
                <w:sz w:val="22"/>
              </w:rPr>
            </w:pPr>
            <w:r>
              <w:rPr>
                <w:sz w:val="22"/>
              </w:rPr>
              <w:t>Maximum rated power of diesel engine or maximum steaming rate of the boiler</w:t>
            </w:r>
          </w:p>
        </w:tc>
      </w:tr>
      <w:tr>
        <w:trPr>
          <w:trHeight w:val="251" w:hRule="atLeast"/>
        </w:trPr>
        <w:tc>
          <w:tcPr>
            <w:tcW w:w="1908" w:type="dxa"/>
            <w:tcBorders>
              <w:left w:val="single" w:sz="6" w:space="0" w:color="000000"/>
            </w:tcBorders>
          </w:tcPr>
          <w:p>
            <w:pPr>
              <w:pStyle w:val="TableParagraph"/>
              <w:spacing w:line="232" w:lineRule="exact"/>
              <w:ind w:left="105"/>
              <w:jc w:val="left"/>
              <w:rPr>
                <w:sz w:val="22"/>
              </w:rPr>
            </w:pPr>
            <w:r>
              <w:rPr>
                <w:sz w:val="22"/>
              </w:rPr>
              <w:t>SECP</w:t>
            </w:r>
          </w:p>
        </w:tc>
        <w:tc>
          <w:tcPr>
            <w:tcW w:w="7283" w:type="dxa"/>
          </w:tcPr>
          <w:p>
            <w:pPr>
              <w:pStyle w:val="TableParagraph"/>
              <w:spacing w:line="232" w:lineRule="exact"/>
              <w:ind w:left="108"/>
              <w:jc w:val="left"/>
              <w:rPr>
                <w:sz w:val="22"/>
              </w:rPr>
            </w:pPr>
            <w:r>
              <w:rPr>
                <w:position w:val="2"/>
                <w:sz w:val="22"/>
              </w:rPr>
              <w:t>SO</w:t>
            </w:r>
            <w:r>
              <w:rPr>
                <w:sz w:val="14"/>
              </w:rPr>
              <w:t>X </w:t>
            </w:r>
            <w:r>
              <w:rPr>
                <w:position w:val="2"/>
                <w:sz w:val="22"/>
              </w:rPr>
              <w:t>Emissions Compliance Plan</w:t>
            </w:r>
          </w:p>
        </w:tc>
      </w:tr>
      <w:tr>
        <w:trPr>
          <w:trHeight w:val="254" w:hRule="atLeast"/>
        </w:trPr>
        <w:tc>
          <w:tcPr>
            <w:tcW w:w="1908" w:type="dxa"/>
            <w:tcBorders>
              <w:left w:val="single" w:sz="6" w:space="0" w:color="000000"/>
            </w:tcBorders>
          </w:tcPr>
          <w:p>
            <w:pPr>
              <w:pStyle w:val="TableParagraph"/>
              <w:spacing w:line="234" w:lineRule="exact"/>
              <w:ind w:left="105"/>
              <w:jc w:val="left"/>
              <w:rPr>
                <w:sz w:val="22"/>
              </w:rPr>
            </w:pPr>
            <w:r>
              <w:rPr>
                <w:sz w:val="22"/>
              </w:rPr>
              <w:t>SECC</w:t>
            </w:r>
          </w:p>
        </w:tc>
        <w:tc>
          <w:tcPr>
            <w:tcW w:w="7283" w:type="dxa"/>
          </w:tcPr>
          <w:p>
            <w:pPr>
              <w:pStyle w:val="TableParagraph"/>
              <w:spacing w:line="234" w:lineRule="exact"/>
              <w:ind w:left="108"/>
              <w:jc w:val="left"/>
              <w:rPr>
                <w:sz w:val="22"/>
              </w:rPr>
            </w:pPr>
            <w:r>
              <w:rPr>
                <w:position w:val="2"/>
                <w:sz w:val="22"/>
              </w:rPr>
              <w:t>SO</w:t>
            </w:r>
            <w:r>
              <w:rPr>
                <w:sz w:val="14"/>
              </w:rPr>
              <w:t>X </w:t>
            </w:r>
            <w:r>
              <w:rPr>
                <w:position w:val="2"/>
                <w:sz w:val="22"/>
              </w:rPr>
              <w:t>Emissions Compliance Certificate</w:t>
            </w:r>
          </w:p>
        </w:tc>
      </w:tr>
      <w:tr>
        <w:trPr>
          <w:trHeight w:val="253" w:hRule="atLeast"/>
        </w:trPr>
        <w:tc>
          <w:tcPr>
            <w:tcW w:w="1908" w:type="dxa"/>
            <w:tcBorders>
              <w:left w:val="single" w:sz="6" w:space="0" w:color="000000"/>
            </w:tcBorders>
          </w:tcPr>
          <w:p>
            <w:pPr>
              <w:pStyle w:val="TableParagraph"/>
              <w:spacing w:line="234" w:lineRule="exact"/>
              <w:ind w:left="105"/>
              <w:jc w:val="left"/>
              <w:rPr>
                <w:sz w:val="22"/>
              </w:rPr>
            </w:pPr>
            <w:r>
              <w:rPr>
                <w:sz w:val="22"/>
              </w:rPr>
              <w:t>ETM-A</w:t>
            </w:r>
          </w:p>
        </w:tc>
        <w:tc>
          <w:tcPr>
            <w:tcW w:w="7283" w:type="dxa"/>
          </w:tcPr>
          <w:p>
            <w:pPr>
              <w:pStyle w:val="TableParagraph"/>
              <w:spacing w:line="234" w:lineRule="exact"/>
              <w:ind w:left="108"/>
              <w:jc w:val="left"/>
              <w:rPr>
                <w:sz w:val="22"/>
              </w:rPr>
            </w:pPr>
            <w:r>
              <w:rPr>
                <w:sz w:val="22"/>
              </w:rPr>
              <w:t>EGC system – Technical Manual for Scheme A</w:t>
            </w:r>
          </w:p>
        </w:tc>
      </w:tr>
      <w:tr>
        <w:trPr>
          <w:trHeight w:val="251" w:hRule="atLeast"/>
        </w:trPr>
        <w:tc>
          <w:tcPr>
            <w:tcW w:w="1908" w:type="dxa"/>
            <w:tcBorders>
              <w:left w:val="single" w:sz="6" w:space="0" w:color="000000"/>
            </w:tcBorders>
          </w:tcPr>
          <w:p>
            <w:pPr>
              <w:pStyle w:val="TableParagraph"/>
              <w:spacing w:line="232" w:lineRule="exact"/>
              <w:ind w:left="105"/>
              <w:jc w:val="left"/>
              <w:rPr>
                <w:sz w:val="22"/>
              </w:rPr>
            </w:pPr>
            <w:r>
              <w:rPr>
                <w:sz w:val="22"/>
              </w:rPr>
              <w:t>ETM-B</w:t>
            </w:r>
          </w:p>
        </w:tc>
        <w:tc>
          <w:tcPr>
            <w:tcW w:w="7283" w:type="dxa"/>
          </w:tcPr>
          <w:p>
            <w:pPr>
              <w:pStyle w:val="TableParagraph"/>
              <w:spacing w:line="232" w:lineRule="exact"/>
              <w:ind w:left="108"/>
              <w:jc w:val="left"/>
              <w:rPr>
                <w:sz w:val="22"/>
              </w:rPr>
            </w:pPr>
            <w:r>
              <w:rPr>
                <w:sz w:val="22"/>
              </w:rPr>
              <w:t>EGC system – Technical Manual for Scheme B</w:t>
            </w:r>
          </w:p>
        </w:tc>
      </w:tr>
      <w:tr>
        <w:trPr>
          <w:trHeight w:val="254" w:hRule="atLeast"/>
        </w:trPr>
        <w:tc>
          <w:tcPr>
            <w:tcW w:w="1908" w:type="dxa"/>
            <w:tcBorders>
              <w:left w:val="single" w:sz="6" w:space="0" w:color="000000"/>
            </w:tcBorders>
          </w:tcPr>
          <w:p>
            <w:pPr>
              <w:pStyle w:val="TableParagraph"/>
              <w:spacing w:line="234" w:lineRule="exact"/>
              <w:ind w:left="105"/>
              <w:jc w:val="left"/>
              <w:rPr>
                <w:sz w:val="22"/>
              </w:rPr>
            </w:pPr>
            <w:r>
              <w:rPr>
                <w:sz w:val="22"/>
              </w:rPr>
              <w:t>OMM</w:t>
            </w:r>
          </w:p>
        </w:tc>
        <w:tc>
          <w:tcPr>
            <w:tcW w:w="7283" w:type="dxa"/>
          </w:tcPr>
          <w:p>
            <w:pPr>
              <w:pStyle w:val="TableParagraph"/>
              <w:spacing w:line="234" w:lineRule="exact"/>
              <w:ind w:left="108"/>
              <w:jc w:val="left"/>
              <w:rPr>
                <w:sz w:val="22"/>
              </w:rPr>
            </w:pPr>
            <w:r>
              <w:rPr>
                <w:sz w:val="22"/>
              </w:rPr>
              <w:t>Onboard Monitoring Manual</w:t>
            </w:r>
          </w:p>
        </w:tc>
      </w:tr>
      <w:tr>
        <w:trPr>
          <w:trHeight w:val="505" w:hRule="atLeast"/>
        </w:trPr>
        <w:tc>
          <w:tcPr>
            <w:tcW w:w="1908" w:type="dxa"/>
            <w:tcBorders>
              <w:left w:val="single" w:sz="6" w:space="0" w:color="000000"/>
            </w:tcBorders>
          </w:tcPr>
          <w:p>
            <w:pPr>
              <w:pStyle w:val="TableParagraph"/>
              <w:spacing w:line="252" w:lineRule="exact" w:before="2"/>
              <w:ind w:left="105" w:right="523"/>
              <w:jc w:val="left"/>
              <w:rPr>
                <w:sz w:val="22"/>
              </w:rPr>
            </w:pPr>
            <w:r>
              <w:rPr>
                <w:sz w:val="22"/>
              </w:rPr>
              <w:t>EGC Record Book</w:t>
            </w:r>
          </w:p>
        </w:tc>
        <w:tc>
          <w:tcPr>
            <w:tcW w:w="7283" w:type="dxa"/>
          </w:tcPr>
          <w:p>
            <w:pPr>
              <w:pStyle w:val="TableParagraph"/>
              <w:spacing w:line="252" w:lineRule="exact" w:before="2"/>
              <w:ind w:left="108" w:right="89"/>
              <w:jc w:val="left"/>
              <w:rPr>
                <w:sz w:val="22"/>
              </w:rPr>
            </w:pPr>
            <w:r>
              <w:rPr>
                <w:sz w:val="22"/>
              </w:rPr>
              <w:t>A record of the EGC unit in-service operating parameters, component adjustments, maintenance and service records as appropriate</w:t>
            </w:r>
          </w:p>
        </w:tc>
      </w:tr>
    </w:tbl>
    <w:p>
      <w:pPr>
        <w:pStyle w:val="BodyText"/>
        <w:spacing w:before="10"/>
        <w:rPr>
          <w:b/>
          <w:sz w:val="21"/>
        </w:rPr>
      </w:pP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8"/>
        <w:gridCol w:w="3205"/>
        <w:gridCol w:w="3150"/>
      </w:tblGrid>
      <w:tr>
        <w:trPr>
          <w:trHeight w:val="254" w:hRule="atLeast"/>
        </w:trPr>
        <w:tc>
          <w:tcPr>
            <w:tcW w:w="2838" w:type="dxa"/>
            <w:tcBorders>
              <w:left w:val="single" w:sz="6" w:space="0" w:color="000000"/>
            </w:tcBorders>
          </w:tcPr>
          <w:p>
            <w:pPr>
              <w:pStyle w:val="TableParagraph"/>
              <w:spacing w:line="234" w:lineRule="exact"/>
              <w:ind w:left="914"/>
              <w:jc w:val="left"/>
              <w:rPr>
                <w:sz w:val="22"/>
              </w:rPr>
            </w:pPr>
            <w:r>
              <w:rPr>
                <w:sz w:val="22"/>
              </w:rPr>
              <w:t>Document</w:t>
            </w:r>
          </w:p>
        </w:tc>
        <w:tc>
          <w:tcPr>
            <w:tcW w:w="3205" w:type="dxa"/>
          </w:tcPr>
          <w:p>
            <w:pPr>
              <w:pStyle w:val="TableParagraph"/>
              <w:spacing w:line="234" w:lineRule="exact"/>
              <w:ind w:left="1072" w:right="1067"/>
              <w:rPr>
                <w:sz w:val="22"/>
              </w:rPr>
            </w:pPr>
            <w:r>
              <w:rPr>
                <w:sz w:val="22"/>
              </w:rPr>
              <w:t>Scheme A</w:t>
            </w:r>
          </w:p>
        </w:tc>
        <w:tc>
          <w:tcPr>
            <w:tcW w:w="3150" w:type="dxa"/>
          </w:tcPr>
          <w:p>
            <w:pPr>
              <w:pStyle w:val="TableParagraph"/>
              <w:spacing w:line="234" w:lineRule="exact"/>
              <w:ind w:left="1043" w:right="1041"/>
              <w:rPr>
                <w:sz w:val="22"/>
              </w:rPr>
            </w:pPr>
            <w:r>
              <w:rPr>
                <w:sz w:val="22"/>
              </w:rPr>
              <w:t>Scheme B</w:t>
            </w:r>
          </w:p>
        </w:tc>
      </w:tr>
      <w:tr>
        <w:trPr>
          <w:trHeight w:val="251" w:hRule="atLeast"/>
        </w:trPr>
        <w:tc>
          <w:tcPr>
            <w:tcW w:w="2838" w:type="dxa"/>
            <w:tcBorders>
              <w:left w:val="single" w:sz="6" w:space="0" w:color="000000"/>
            </w:tcBorders>
          </w:tcPr>
          <w:p>
            <w:pPr>
              <w:pStyle w:val="TableParagraph"/>
              <w:spacing w:line="232" w:lineRule="exact"/>
              <w:ind w:left="105"/>
              <w:jc w:val="left"/>
              <w:rPr>
                <w:sz w:val="22"/>
              </w:rPr>
            </w:pPr>
            <w:r>
              <w:rPr>
                <w:sz w:val="22"/>
              </w:rPr>
              <w:t>SECP</w:t>
            </w:r>
          </w:p>
        </w:tc>
        <w:tc>
          <w:tcPr>
            <w:tcW w:w="3205" w:type="dxa"/>
          </w:tcPr>
          <w:p>
            <w:pPr>
              <w:pStyle w:val="TableParagraph"/>
              <w:spacing w:line="232" w:lineRule="exact"/>
              <w:ind w:left="4"/>
              <w:rPr>
                <w:sz w:val="22"/>
              </w:rPr>
            </w:pPr>
            <w:r>
              <w:rPr>
                <w:w w:val="100"/>
                <w:sz w:val="22"/>
              </w:rPr>
              <w:t>X</w:t>
            </w:r>
          </w:p>
        </w:tc>
        <w:tc>
          <w:tcPr>
            <w:tcW w:w="3150" w:type="dxa"/>
          </w:tcPr>
          <w:p>
            <w:pPr>
              <w:pStyle w:val="TableParagraph"/>
              <w:spacing w:line="232" w:lineRule="exact"/>
              <w:rPr>
                <w:sz w:val="22"/>
              </w:rPr>
            </w:pPr>
            <w:r>
              <w:rPr>
                <w:w w:val="100"/>
                <w:sz w:val="22"/>
              </w:rPr>
              <w:t>X</w:t>
            </w:r>
          </w:p>
        </w:tc>
      </w:tr>
      <w:tr>
        <w:trPr>
          <w:trHeight w:val="253" w:hRule="atLeast"/>
        </w:trPr>
        <w:tc>
          <w:tcPr>
            <w:tcW w:w="2838" w:type="dxa"/>
            <w:tcBorders>
              <w:left w:val="single" w:sz="6" w:space="0" w:color="000000"/>
            </w:tcBorders>
          </w:tcPr>
          <w:p>
            <w:pPr>
              <w:pStyle w:val="TableParagraph"/>
              <w:spacing w:line="234" w:lineRule="exact"/>
              <w:ind w:left="105"/>
              <w:jc w:val="left"/>
              <w:rPr>
                <w:sz w:val="22"/>
              </w:rPr>
            </w:pPr>
            <w:r>
              <w:rPr>
                <w:sz w:val="22"/>
              </w:rPr>
              <w:t>SECC</w:t>
            </w:r>
          </w:p>
        </w:tc>
        <w:tc>
          <w:tcPr>
            <w:tcW w:w="3205" w:type="dxa"/>
          </w:tcPr>
          <w:p>
            <w:pPr>
              <w:pStyle w:val="TableParagraph"/>
              <w:spacing w:line="234" w:lineRule="exact"/>
              <w:ind w:left="4"/>
              <w:rPr>
                <w:sz w:val="22"/>
              </w:rPr>
            </w:pPr>
            <w:r>
              <w:rPr>
                <w:w w:val="100"/>
                <w:sz w:val="22"/>
              </w:rPr>
              <w:t>X</w:t>
            </w:r>
          </w:p>
        </w:tc>
        <w:tc>
          <w:tcPr>
            <w:tcW w:w="3150" w:type="dxa"/>
          </w:tcPr>
          <w:p>
            <w:pPr>
              <w:pStyle w:val="TableParagraph"/>
              <w:jc w:val="left"/>
              <w:rPr>
                <w:rFonts w:ascii="Times New Roman"/>
                <w:sz w:val="18"/>
              </w:rPr>
            </w:pPr>
          </w:p>
        </w:tc>
      </w:tr>
      <w:tr>
        <w:trPr>
          <w:trHeight w:val="254" w:hRule="atLeast"/>
        </w:trPr>
        <w:tc>
          <w:tcPr>
            <w:tcW w:w="2838" w:type="dxa"/>
            <w:tcBorders>
              <w:left w:val="single" w:sz="6" w:space="0" w:color="000000"/>
            </w:tcBorders>
          </w:tcPr>
          <w:p>
            <w:pPr>
              <w:pStyle w:val="TableParagraph"/>
              <w:spacing w:line="234" w:lineRule="exact"/>
              <w:ind w:left="105"/>
              <w:jc w:val="left"/>
              <w:rPr>
                <w:sz w:val="22"/>
              </w:rPr>
            </w:pPr>
            <w:r>
              <w:rPr>
                <w:sz w:val="22"/>
              </w:rPr>
              <w:t>ETM Scheme A</w:t>
            </w:r>
          </w:p>
        </w:tc>
        <w:tc>
          <w:tcPr>
            <w:tcW w:w="3205" w:type="dxa"/>
          </w:tcPr>
          <w:p>
            <w:pPr>
              <w:pStyle w:val="TableParagraph"/>
              <w:spacing w:line="234" w:lineRule="exact"/>
              <w:ind w:left="4"/>
              <w:rPr>
                <w:sz w:val="22"/>
              </w:rPr>
            </w:pPr>
            <w:r>
              <w:rPr>
                <w:w w:val="100"/>
                <w:sz w:val="22"/>
              </w:rPr>
              <w:t>X</w:t>
            </w:r>
          </w:p>
        </w:tc>
        <w:tc>
          <w:tcPr>
            <w:tcW w:w="3150" w:type="dxa"/>
          </w:tcPr>
          <w:p>
            <w:pPr>
              <w:pStyle w:val="TableParagraph"/>
              <w:jc w:val="left"/>
              <w:rPr>
                <w:rFonts w:ascii="Times New Roman"/>
                <w:sz w:val="18"/>
              </w:rPr>
            </w:pPr>
          </w:p>
        </w:tc>
      </w:tr>
      <w:tr>
        <w:trPr>
          <w:trHeight w:val="251" w:hRule="atLeast"/>
        </w:trPr>
        <w:tc>
          <w:tcPr>
            <w:tcW w:w="2838" w:type="dxa"/>
            <w:tcBorders>
              <w:left w:val="single" w:sz="6" w:space="0" w:color="000000"/>
            </w:tcBorders>
          </w:tcPr>
          <w:p>
            <w:pPr>
              <w:pStyle w:val="TableParagraph"/>
              <w:spacing w:line="232" w:lineRule="exact"/>
              <w:ind w:left="105"/>
              <w:jc w:val="left"/>
              <w:rPr>
                <w:sz w:val="22"/>
              </w:rPr>
            </w:pPr>
            <w:r>
              <w:rPr>
                <w:sz w:val="22"/>
              </w:rPr>
              <w:t>ETM Scheme B</w:t>
            </w:r>
          </w:p>
        </w:tc>
        <w:tc>
          <w:tcPr>
            <w:tcW w:w="3205" w:type="dxa"/>
          </w:tcPr>
          <w:p>
            <w:pPr>
              <w:pStyle w:val="TableParagraph"/>
              <w:jc w:val="left"/>
              <w:rPr>
                <w:rFonts w:ascii="Times New Roman"/>
                <w:sz w:val="18"/>
              </w:rPr>
            </w:pPr>
          </w:p>
        </w:tc>
        <w:tc>
          <w:tcPr>
            <w:tcW w:w="3150" w:type="dxa"/>
          </w:tcPr>
          <w:p>
            <w:pPr>
              <w:pStyle w:val="TableParagraph"/>
              <w:spacing w:line="232" w:lineRule="exact"/>
              <w:rPr>
                <w:sz w:val="22"/>
              </w:rPr>
            </w:pPr>
            <w:r>
              <w:rPr>
                <w:w w:val="100"/>
                <w:sz w:val="22"/>
              </w:rPr>
              <w:t>X</w:t>
            </w:r>
          </w:p>
        </w:tc>
      </w:tr>
      <w:tr>
        <w:trPr>
          <w:trHeight w:val="253" w:hRule="atLeast"/>
        </w:trPr>
        <w:tc>
          <w:tcPr>
            <w:tcW w:w="2838" w:type="dxa"/>
            <w:tcBorders>
              <w:left w:val="single" w:sz="6" w:space="0" w:color="000000"/>
            </w:tcBorders>
          </w:tcPr>
          <w:p>
            <w:pPr>
              <w:pStyle w:val="TableParagraph"/>
              <w:spacing w:line="234" w:lineRule="exact"/>
              <w:ind w:left="105"/>
              <w:jc w:val="left"/>
              <w:rPr>
                <w:sz w:val="22"/>
              </w:rPr>
            </w:pPr>
            <w:r>
              <w:rPr>
                <w:sz w:val="22"/>
              </w:rPr>
              <w:t>OMM</w:t>
            </w:r>
          </w:p>
        </w:tc>
        <w:tc>
          <w:tcPr>
            <w:tcW w:w="3205" w:type="dxa"/>
          </w:tcPr>
          <w:p>
            <w:pPr>
              <w:pStyle w:val="TableParagraph"/>
              <w:spacing w:line="234" w:lineRule="exact"/>
              <w:ind w:left="4"/>
              <w:rPr>
                <w:sz w:val="22"/>
              </w:rPr>
            </w:pPr>
            <w:r>
              <w:rPr>
                <w:w w:val="100"/>
                <w:sz w:val="22"/>
              </w:rPr>
              <w:t>X</w:t>
            </w:r>
          </w:p>
        </w:tc>
        <w:tc>
          <w:tcPr>
            <w:tcW w:w="3150" w:type="dxa"/>
          </w:tcPr>
          <w:p>
            <w:pPr>
              <w:pStyle w:val="TableParagraph"/>
              <w:spacing w:line="234" w:lineRule="exact"/>
              <w:rPr>
                <w:sz w:val="22"/>
              </w:rPr>
            </w:pPr>
            <w:r>
              <w:rPr>
                <w:w w:val="100"/>
                <w:sz w:val="22"/>
              </w:rPr>
              <w:t>X</w:t>
            </w:r>
          </w:p>
        </w:tc>
      </w:tr>
      <w:tr>
        <w:trPr>
          <w:trHeight w:val="503" w:hRule="atLeast"/>
        </w:trPr>
        <w:tc>
          <w:tcPr>
            <w:tcW w:w="2838" w:type="dxa"/>
            <w:tcBorders>
              <w:left w:val="single" w:sz="6" w:space="0" w:color="000000"/>
              <w:bottom w:val="single" w:sz="6" w:space="0" w:color="000000"/>
            </w:tcBorders>
          </w:tcPr>
          <w:p>
            <w:pPr>
              <w:pStyle w:val="TableParagraph"/>
              <w:spacing w:line="252" w:lineRule="exact" w:before="2"/>
              <w:ind w:left="105" w:right="95"/>
              <w:jc w:val="left"/>
              <w:rPr>
                <w:sz w:val="22"/>
              </w:rPr>
            </w:pPr>
            <w:r>
              <w:rPr>
                <w:sz w:val="22"/>
              </w:rPr>
              <w:t>EGC Record Book or Electronic Logging System</w:t>
            </w:r>
          </w:p>
        </w:tc>
        <w:tc>
          <w:tcPr>
            <w:tcW w:w="3205" w:type="dxa"/>
            <w:tcBorders>
              <w:bottom w:val="single" w:sz="6" w:space="0" w:color="000000"/>
            </w:tcBorders>
          </w:tcPr>
          <w:p>
            <w:pPr>
              <w:pStyle w:val="TableParagraph"/>
              <w:spacing w:line="250" w:lineRule="exact"/>
              <w:ind w:left="4"/>
              <w:rPr>
                <w:sz w:val="22"/>
              </w:rPr>
            </w:pPr>
            <w:r>
              <w:rPr>
                <w:w w:val="100"/>
                <w:sz w:val="22"/>
              </w:rPr>
              <w:t>X</w:t>
            </w:r>
          </w:p>
        </w:tc>
        <w:tc>
          <w:tcPr>
            <w:tcW w:w="3150" w:type="dxa"/>
            <w:tcBorders>
              <w:bottom w:val="single" w:sz="6" w:space="0" w:color="000000"/>
            </w:tcBorders>
          </w:tcPr>
          <w:p>
            <w:pPr>
              <w:pStyle w:val="TableParagraph"/>
              <w:spacing w:line="250" w:lineRule="exact"/>
              <w:rPr>
                <w:sz w:val="22"/>
              </w:rPr>
            </w:pPr>
            <w:r>
              <w:rPr>
                <w:w w:val="100"/>
                <w:sz w:val="22"/>
              </w:rPr>
              <w:t>X</w:t>
            </w:r>
          </w:p>
        </w:tc>
      </w:tr>
    </w:tbl>
    <w:p>
      <w:pPr>
        <w:pStyle w:val="BodyText"/>
        <w:spacing w:before="5"/>
        <w:rPr>
          <w:b/>
          <w:sz w:val="21"/>
        </w:rPr>
      </w:pPr>
    </w:p>
    <w:p>
      <w:pPr>
        <w:pStyle w:val="ListParagraph"/>
        <w:numPr>
          <w:ilvl w:val="0"/>
          <w:numId w:val="2"/>
        </w:numPr>
        <w:tabs>
          <w:tab w:pos="1170" w:val="left" w:leader="none"/>
          <w:tab w:pos="1171" w:val="left" w:leader="none"/>
        </w:tabs>
        <w:spacing w:line="240" w:lineRule="auto" w:before="0" w:after="0"/>
        <w:ind w:left="1170" w:right="0" w:hanging="853"/>
        <w:jc w:val="both"/>
        <w:rPr>
          <w:b/>
          <w:sz w:val="22"/>
        </w:rPr>
      </w:pPr>
      <w:r>
        <w:rPr>
          <w:b/>
          <w:sz w:val="22"/>
        </w:rPr>
        <w:t>SAFETY</w:t>
      </w:r>
      <w:r>
        <w:rPr>
          <w:b/>
          <w:spacing w:val="-2"/>
          <w:sz w:val="22"/>
        </w:rPr>
        <w:t> </w:t>
      </w:r>
      <w:r>
        <w:rPr>
          <w:b/>
          <w:sz w:val="22"/>
        </w:rPr>
        <w:t>NOTE</w:t>
      </w:r>
    </w:p>
    <w:p>
      <w:pPr>
        <w:pStyle w:val="BodyText"/>
        <w:spacing w:before="3"/>
        <w:rPr>
          <w:b/>
        </w:rPr>
      </w:pPr>
    </w:p>
    <w:p>
      <w:pPr>
        <w:pStyle w:val="BodyText"/>
        <w:ind w:left="318" w:right="413"/>
        <w:jc w:val="both"/>
      </w:pPr>
      <w:r>
        <w:rPr>
          <w:spacing w:val="-3"/>
        </w:rPr>
        <w:t>Due attention </w:t>
      </w:r>
      <w:r>
        <w:rPr/>
        <w:t>is to be </w:t>
      </w:r>
      <w:r>
        <w:rPr>
          <w:spacing w:val="-3"/>
        </w:rPr>
        <w:t>given </w:t>
      </w:r>
      <w:r>
        <w:rPr/>
        <w:t>to the </w:t>
      </w:r>
      <w:r>
        <w:rPr>
          <w:spacing w:val="-3"/>
        </w:rPr>
        <w:t>safety implications related </w:t>
      </w:r>
      <w:r>
        <w:rPr/>
        <w:t>to the </w:t>
      </w:r>
      <w:r>
        <w:rPr>
          <w:spacing w:val="-3"/>
        </w:rPr>
        <w:t>handling </w:t>
      </w:r>
      <w:r>
        <w:rPr/>
        <w:t>and </w:t>
      </w:r>
      <w:r>
        <w:rPr>
          <w:spacing w:val="-3"/>
        </w:rPr>
        <w:t>proximity </w:t>
      </w:r>
      <w:r>
        <w:rPr/>
        <w:t>of exhaust gases, the measurement equipment and the storage and use of pressurized containers </w:t>
      </w:r>
      <w:r>
        <w:rPr>
          <w:spacing w:val="-3"/>
        </w:rPr>
        <w:t>of </w:t>
      </w:r>
      <w:r>
        <w:rPr/>
        <w:t>pure and </w:t>
      </w:r>
      <w:r>
        <w:rPr>
          <w:spacing w:val="-3"/>
        </w:rPr>
        <w:t>calibration gases. Sampling positions </w:t>
      </w:r>
      <w:r>
        <w:rPr/>
        <w:t>and </w:t>
      </w:r>
      <w:r>
        <w:rPr>
          <w:spacing w:val="-3"/>
        </w:rPr>
        <w:t>permanent access platforms should </w:t>
      </w:r>
      <w:r>
        <w:rPr/>
        <w:t>be </w:t>
      </w:r>
      <w:r>
        <w:rPr>
          <w:spacing w:val="-3"/>
        </w:rPr>
        <w:t>such </w:t>
      </w:r>
      <w:r>
        <w:rPr/>
        <w:t>that this monitoring may be performed safely. In locating discharge outlet of washwater used in the </w:t>
      </w:r>
      <w:r>
        <w:rPr>
          <w:spacing w:val="-2"/>
        </w:rPr>
        <w:t>EGC </w:t>
      </w:r>
      <w:r>
        <w:rPr>
          <w:spacing w:val="-3"/>
        </w:rPr>
        <w:t>unit, </w:t>
      </w:r>
      <w:r>
        <w:rPr/>
        <w:t>due </w:t>
      </w:r>
      <w:r>
        <w:rPr>
          <w:spacing w:val="-3"/>
        </w:rPr>
        <w:t>consideration should </w:t>
      </w:r>
      <w:r>
        <w:rPr/>
        <w:t>be given to the </w:t>
      </w:r>
      <w:r>
        <w:rPr>
          <w:spacing w:val="-3"/>
        </w:rPr>
        <w:t>location </w:t>
      </w:r>
      <w:r>
        <w:rPr/>
        <w:t>of the</w:t>
      </w:r>
    </w:p>
    <w:p>
      <w:pPr>
        <w:spacing w:after="0"/>
        <w:jc w:val="both"/>
        <w:sectPr>
          <w:pgSz w:w="11910" w:h="16840"/>
          <w:pgMar w:header="856" w:footer="865" w:top="1540" w:bottom="1000" w:left="1100" w:right="1000"/>
        </w:sectPr>
      </w:pPr>
    </w:p>
    <w:p>
      <w:pPr>
        <w:pStyle w:val="BodyText"/>
        <w:spacing w:before="89"/>
        <w:ind w:left="318" w:right="413"/>
        <w:jc w:val="both"/>
      </w:pPr>
      <w:r>
        <w:rPr/>
        <w:t>ship's seawater inlet. In all operating conditions the pH should be maintained at a level that avoids damage to the vessel’s anti-fouling system, the propeller, rudder and other components that may be vulnerable to acidic discharges, potentially causing accelerated corrosion of critical metal components.</w:t>
      </w:r>
    </w:p>
    <w:p>
      <w:pPr>
        <w:pStyle w:val="BodyText"/>
        <w:spacing w:before="9"/>
        <w:rPr>
          <w:sz w:val="21"/>
        </w:rPr>
      </w:pPr>
    </w:p>
    <w:p>
      <w:pPr>
        <w:pStyle w:val="Heading1"/>
        <w:numPr>
          <w:ilvl w:val="0"/>
          <w:numId w:val="2"/>
        </w:numPr>
        <w:tabs>
          <w:tab w:pos="1170" w:val="left" w:leader="none"/>
          <w:tab w:pos="1171" w:val="left" w:leader="none"/>
        </w:tabs>
        <w:spacing w:line="240" w:lineRule="auto" w:before="0" w:after="0"/>
        <w:ind w:left="1170" w:right="418" w:hanging="852"/>
        <w:jc w:val="left"/>
      </w:pPr>
      <w:r>
        <w:rPr/>
        <w:t>SCHEME A – EGC SYSTEM APPROVAL, SURVEY AND CERTIFICATION USING PARAMETER AND EMISSION</w:t>
      </w:r>
      <w:r>
        <w:rPr>
          <w:spacing w:val="1"/>
        </w:rPr>
        <w:t> </w:t>
      </w:r>
      <w:r>
        <w:rPr/>
        <w:t>CHECKS</w:t>
      </w:r>
    </w:p>
    <w:p>
      <w:pPr>
        <w:pStyle w:val="BodyText"/>
        <w:spacing w:before="2"/>
        <w:rPr>
          <w:b/>
        </w:rPr>
      </w:pPr>
    </w:p>
    <w:p>
      <w:pPr>
        <w:pStyle w:val="ListParagraph"/>
        <w:numPr>
          <w:ilvl w:val="1"/>
          <w:numId w:val="2"/>
        </w:numPr>
        <w:tabs>
          <w:tab w:pos="1170" w:val="left" w:leader="none"/>
          <w:tab w:pos="1171" w:val="left" w:leader="none"/>
        </w:tabs>
        <w:spacing w:line="240" w:lineRule="auto" w:before="0" w:after="0"/>
        <w:ind w:left="1170" w:right="0" w:hanging="853"/>
        <w:jc w:val="left"/>
        <w:rPr>
          <w:b/>
          <w:sz w:val="22"/>
        </w:rPr>
      </w:pPr>
      <w:r>
        <w:rPr>
          <w:b/>
          <w:sz w:val="22"/>
        </w:rPr>
        <w:t>Approval of EGC</w:t>
      </w:r>
      <w:r>
        <w:rPr>
          <w:b/>
          <w:spacing w:val="1"/>
          <w:sz w:val="22"/>
        </w:rPr>
        <w:t> </w:t>
      </w:r>
      <w:r>
        <w:rPr>
          <w:b/>
          <w:sz w:val="22"/>
        </w:rPr>
        <w:t>systems</w:t>
      </w:r>
    </w:p>
    <w:p>
      <w:pPr>
        <w:pStyle w:val="BodyText"/>
        <w:rPr>
          <w:b/>
        </w:rPr>
      </w:pPr>
    </w:p>
    <w:p>
      <w:pPr>
        <w:pStyle w:val="Heading2"/>
        <w:numPr>
          <w:ilvl w:val="2"/>
          <w:numId w:val="2"/>
        </w:numPr>
        <w:tabs>
          <w:tab w:pos="1170" w:val="left" w:leader="none"/>
          <w:tab w:pos="1171" w:val="left" w:leader="none"/>
        </w:tabs>
        <w:spacing w:line="240" w:lineRule="auto" w:before="0" w:after="0"/>
        <w:ind w:left="1170" w:right="0" w:hanging="853"/>
        <w:jc w:val="left"/>
        <w:rPr>
          <w:i/>
        </w:rPr>
      </w:pPr>
      <w:r>
        <w:rPr>
          <w:i/>
        </w:rPr>
        <w:t>General</w:t>
      </w:r>
    </w:p>
    <w:p>
      <w:pPr>
        <w:pStyle w:val="BodyText"/>
        <w:spacing w:before="1"/>
        <w:rPr>
          <w:b/>
          <w:i/>
        </w:rPr>
      </w:pPr>
    </w:p>
    <w:p>
      <w:pPr>
        <w:pStyle w:val="BodyText"/>
        <w:ind w:left="318"/>
        <w:jc w:val="both"/>
      </w:pPr>
      <w:r>
        <w:rPr/>
        <w:t>Options under Scheme A of these guidelines provide for:</w:t>
      </w:r>
    </w:p>
    <w:p>
      <w:pPr>
        <w:pStyle w:val="BodyText"/>
      </w:pPr>
    </w:p>
    <w:p>
      <w:pPr>
        <w:pStyle w:val="ListParagraph"/>
        <w:numPr>
          <w:ilvl w:val="3"/>
          <w:numId w:val="2"/>
        </w:numPr>
        <w:tabs>
          <w:tab w:pos="2020" w:val="left" w:leader="none"/>
          <w:tab w:pos="2021" w:val="left" w:leader="none"/>
        </w:tabs>
        <w:spacing w:line="240" w:lineRule="auto" w:before="0" w:after="0"/>
        <w:ind w:left="2020" w:right="0" w:hanging="851"/>
        <w:jc w:val="left"/>
        <w:rPr>
          <w:sz w:val="22"/>
        </w:rPr>
      </w:pPr>
      <w:r>
        <w:rPr>
          <w:sz w:val="22"/>
        </w:rPr>
        <w:t>unit</w:t>
      </w:r>
      <w:r>
        <w:rPr>
          <w:spacing w:val="1"/>
          <w:sz w:val="22"/>
        </w:rPr>
        <w:t> </w:t>
      </w:r>
      <w:r>
        <w:rPr>
          <w:sz w:val="22"/>
        </w:rPr>
        <w:t>approval;</w:t>
      </w:r>
    </w:p>
    <w:p>
      <w:pPr>
        <w:pStyle w:val="BodyText"/>
        <w:spacing w:before="1"/>
      </w:pPr>
    </w:p>
    <w:p>
      <w:pPr>
        <w:pStyle w:val="ListParagraph"/>
        <w:numPr>
          <w:ilvl w:val="3"/>
          <w:numId w:val="2"/>
        </w:numPr>
        <w:tabs>
          <w:tab w:pos="2020" w:val="left" w:leader="none"/>
          <w:tab w:pos="2021" w:val="left" w:leader="none"/>
        </w:tabs>
        <w:spacing w:line="240" w:lineRule="auto" w:before="0" w:after="0"/>
        <w:ind w:left="2020" w:right="0" w:hanging="851"/>
        <w:jc w:val="left"/>
        <w:rPr>
          <w:sz w:val="22"/>
        </w:rPr>
      </w:pPr>
      <w:r>
        <w:rPr>
          <w:sz w:val="22"/>
        </w:rPr>
        <w:t>serially manufactured units;</w:t>
      </w:r>
      <w:r>
        <w:rPr>
          <w:spacing w:val="-2"/>
          <w:sz w:val="22"/>
        </w:rPr>
        <w:t> </w:t>
      </w:r>
      <w:r>
        <w:rPr>
          <w:sz w:val="22"/>
        </w:rPr>
        <w:t>and</w:t>
      </w:r>
    </w:p>
    <w:p>
      <w:pPr>
        <w:pStyle w:val="BodyText"/>
      </w:pPr>
    </w:p>
    <w:p>
      <w:pPr>
        <w:pStyle w:val="ListParagraph"/>
        <w:numPr>
          <w:ilvl w:val="3"/>
          <w:numId w:val="2"/>
        </w:numPr>
        <w:tabs>
          <w:tab w:pos="2020" w:val="left" w:leader="none"/>
          <w:tab w:pos="2021" w:val="left" w:leader="none"/>
        </w:tabs>
        <w:spacing w:line="240" w:lineRule="auto" w:before="1" w:after="0"/>
        <w:ind w:left="2020" w:right="0" w:hanging="851"/>
        <w:jc w:val="left"/>
        <w:rPr>
          <w:sz w:val="22"/>
        </w:rPr>
      </w:pPr>
      <w:r>
        <w:rPr>
          <w:sz w:val="22"/>
        </w:rPr>
        <w:t>production range</w:t>
      </w:r>
      <w:r>
        <w:rPr>
          <w:spacing w:val="-3"/>
          <w:sz w:val="22"/>
        </w:rPr>
        <w:t> </w:t>
      </w:r>
      <w:r>
        <w:rPr>
          <w:sz w:val="22"/>
        </w:rPr>
        <w:t>approval.</w:t>
      </w:r>
    </w:p>
    <w:p>
      <w:pPr>
        <w:pStyle w:val="BodyText"/>
        <w:spacing w:before="9"/>
        <w:rPr>
          <w:sz w:val="21"/>
        </w:rPr>
      </w:pPr>
    </w:p>
    <w:p>
      <w:pPr>
        <w:pStyle w:val="Heading2"/>
        <w:numPr>
          <w:ilvl w:val="2"/>
          <w:numId w:val="2"/>
        </w:numPr>
        <w:tabs>
          <w:tab w:pos="1170" w:val="left" w:leader="none"/>
          <w:tab w:pos="1171" w:val="left" w:leader="none"/>
        </w:tabs>
        <w:spacing w:line="240" w:lineRule="auto" w:before="0" w:after="0"/>
        <w:ind w:left="1170" w:right="0" w:hanging="853"/>
        <w:jc w:val="left"/>
        <w:rPr>
          <w:i/>
        </w:rPr>
      </w:pPr>
      <w:r>
        <w:rPr>
          <w:i/>
        </w:rPr>
        <w:t>Unit</w:t>
      </w:r>
      <w:r>
        <w:rPr>
          <w:i/>
          <w:spacing w:val="1"/>
        </w:rPr>
        <w:t> </w:t>
      </w:r>
      <w:r>
        <w:rPr>
          <w:i/>
        </w:rPr>
        <w:t>approval</w:t>
      </w:r>
    </w:p>
    <w:p>
      <w:pPr>
        <w:pStyle w:val="BodyText"/>
        <w:spacing w:before="10"/>
        <w:rPr>
          <w:b/>
          <w:i/>
          <w:sz w:val="21"/>
        </w:rPr>
      </w:pPr>
    </w:p>
    <w:p>
      <w:pPr>
        <w:pStyle w:val="ListParagraph"/>
        <w:numPr>
          <w:ilvl w:val="3"/>
          <w:numId w:val="3"/>
        </w:numPr>
        <w:tabs>
          <w:tab w:pos="1159" w:val="left" w:leader="none"/>
        </w:tabs>
        <w:spacing w:line="240" w:lineRule="auto" w:before="0" w:after="0"/>
        <w:ind w:left="318" w:right="412" w:firstLine="0"/>
        <w:jc w:val="both"/>
        <w:rPr>
          <w:sz w:val="24"/>
        </w:rPr>
      </w:pPr>
      <w:r>
        <w:rPr>
          <w:sz w:val="22"/>
        </w:rPr>
        <w:t>An EGC unit should be certified as capable of meeting the limit value, (the Certified Value), specified by the manufacturer (e.g. the emission level the unit is capable of achieving on a continuous basis) with fuel oils of the manufacturer’s specified maximum % m/m sulphur content and for the range of operating parameters, as listed in paragraph 4.2.2.1.2, for which they are to be approved. The Certified Value should at least be suitable for ship operations under requirements given by MARPOL Annex VI regulations 14.1 and/or</w:t>
      </w:r>
      <w:r>
        <w:rPr>
          <w:spacing w:val="-10"/>
          <w:sz w:val="22"/>
        </w:rPr>
        <w:t> </w:t>
      </w:r>
      <w:r>
        <w:rPr>
          <w:sz w:val="22"/>
        </w:rPr>
        <w:t>14.4.</w:t>
      </w:r>
    </w:p>
    <w:p>
      <w:pPr>
        <w:pStyle w:val="BodyText"/>
        <w:spacing w:before="3"/>
      </w:pPr>
    </w:p>
    <w:p>
      <w:pPr>
        <w:pStyle w:val="ListParagraph"/>
        <w:numPr>
          <w:ilvl w:val="3"/>
          <w:numId w:val="3"/>
        </w:numPr>
        <w:tabs>
          <w:tab w:pos="1159" w:val="left" w:leader="none"/>
        </w:tabs>
        <w:spacing w:line="240" w:lineRule="auto" w:before="0" w:after="0"/>
        <w:ind w:left="318" w:right="411" w:firstLine="0"/>
        <w:jc w:val="both"/>
        <w:rPr>
          <w:sz w:val="22"/>
        </w:rPr>
      </w:pPr>
      <w:r>
        <w:rPr>
          <w:sz w:val="22"/>
        </w:rPr>
        <w:t>Where testing is not to be undertaken with fuel oils of the manufacturer's specified maximum % m/m sulphur content, the use of </w:t>
      </w:r>
      <w:r>
        <w:rPr>
          <w:spacing w:val="-2"/>
          <w:sz w:val="22"/>
        </w:rPr>
        <w:t>two </w:t>
      </w:r>
      <w:r>
        <w:rPr>
          <w:sz w:val="22"/>
        </w:rPr>
        <w:t>test fuels with a lower % m/m sulphur content is permitted. The two fuels selected should have a difference in % m/m sulphur content sufficient to demonstrate the operational behaviour of the EGC unit and to demonstrate that  the Certified Value can be met if  the EGC unit  were to be operated with   a fuel of the manufacturer's specified maximum % m/m sulphur content. In such cases a minimum of two tests, in accordance with section 4.3 as appropriate, should be performed. These need not be sequential and could be undertaken on two different, but identical, EGC units.</w:t>
      </w:r>
    </w:p>
    <w:p>
      <w:pPr>
        <w:pStyle w:val="BodyText"/>
        <w:spacing w:before="10"/>
        <w:rPr>
          <w:sz w:val="21"/>
        </w:rPr>
      </w:pPr>
    </w:p>
    <w:p>
      <w:pPr>
        <w:pStyle w:val="ListParagraph"/>
        <w:numPr>
          <w:ilvl w:val="3"/>
          <w:numId w:val="3"/>
        </w:numPr>
        <w:tabs>
          <w:tab w:pos="1159" w:val="left" w:leader="none"/>
        </w:tabs>
        <w:spacing w:line="240" w:lineRule="auto" w:before="0" w:after="0"/>
        <w:ind w:left="318" w:right="411" w:firstLine="0"/>
        <w:jc w:val="both"/>
        <w:rPr>
          <w:sz w:val="24"/>
        </w:rPr>
      </w:pPr>
      <w:r>
        <w:rPr>
          <w:sz w:val="22"/>
        </w:rPr>
        <w:t>The maximum and, if applicable, minimum exhaust gas mass flow rate of the unit should  be  stated.  The  effect  of  variation  of  the  other  parameters  defined  in   paragraph 4.2.2.1.2 should be justified by the equipment manufacturer. The effect of variations in these factors should be assessed by testing or otherwise as appropriate. No variation in these factors, or combination of variations in these factors, should be such that the emission value of the EGC unit would be in excess of the Certified</w:t>
      </w:r>
      <w:r>
        <w:rPr>
          <w:spacing w:val="-5"/>
          <w:sz w:val="22"/>
        </w:rPr>
        <w:t> </w:t>
      </w:r>
      <w:r>
        <w:rPr>
          <w:sz w:val="22"/>
        </w:rPr>
        <w:t>Value.</w:t>
      </w:r>
    </w:p>
    <w:p>
      <w:pPr>
        <w:pStyle w:val="BodyText"/>
        <w:spacing w:before="2"/>
      </w:pPr>
    </w:p>
    <w:p>
      <w:pPr>
        <w:pStyle w:val="ListParagraph"/>
        <w:numPr>
          <w:ilvl w:val="3"/>
          <w:numId w:val="3"/>
        </w:numPr>
        <w:tabs>
          <w:tab w:pos="1159" w:val="left" w:leader="none"/>
        </w:tabs>
        <w:spacing w:line="240" w:lineRule="auto" w:before="0" w:after="0"/>
        <w:ind w:left="318" w:right="415" w:firstLine="0"/>
        <w:jc w:val="both"/>
        <w:rPr>
          <w:sz w:val="22"/>
        </w:rPr>
      </w:pPr>
      <w:r>
        <w:rPr>
          <w:sz w:val="22"/>
        </w:rPr>
        <w:t>Data obtained in accordance with this section should be submitted to the Administration for approval together with the</w:t>
      </w:r>
      <w:r>
        <w:rPr>
          <w:spacing w:val="-6"/>
          <w:sz w:val="22"/>
        </w:rPr>
        <w:t> </w:t>
      </w:r>
      <w:r>
        <w:rPr>
          <w:sz w:val="22"/>
        </w:rPr>
        <w:t>ETM-A.</w:t>
      </w:r>
    </w:p>
    <w:p>
      <w:pPr>
        <w:pStyle w:val="BodyText"/>
        <w:spacing w:before="11"/>
        <w:rPr>
          <w:sz w:val="21"/>
        </w:rPr>
      </w:pPr>
    </w:p>
    <w:p>
      <w:pPr>
        <w:pStyle w:val="Heading2"/>
        <w:numPr>
          <w:ilvl w:val="2"/>
          <w:numId w:val="2"/>
        </w:numPr>
        <w:tabs>
          <w:tab w:pos="1159" w:val="left" w:leader="none"/>
        </w:tabs>
        <w:spacing w:line="240" w:lineRule="auto" w:before="0" w:after="0"/>
        <w:ind w:left="1158" w:right="0" w:hanging="841"/>
        <w:jc w:val="both"/>
        <w:rPr>
          <w:i/>
        </w:rPr>
      </w:pPr>
      <w:r>
        <w:rPr>
          <w:i/>
        </w:rPr>
        <w:t>Serially manufactured</w:t>
      </w:r>
      <w:r>
        <w:rPr>
          <w:i/>
          <w:spacing w:val="-7"/>
        </w:rPr>
        <w:t> </w:t>
      </w:r>
      <w:r>
        <w:rPr>
          <w:i/>
        </w:rPr>
        <w:t>units</w:t>
      </w:r>
    </w:p>
    <w:p>
      <w:pPr>
        <w:pStyle w:val="BodyText"/>
        <w:rPr>
          <w:b/>
          <w:i/>
        </w:rPr>
      </w:pPr>
    </w:p>
    <w:p>
      <w:pPr>
        <w:pStyle w:val="BodyText"/>
        <w:ind w:left="318" w:right="413"/>
        <w:jc w:val="both"/>
      </w:pPr>
      <w:r>
        <w:rPr/>
        <w:t>In the case of nominally similar EGC units of the same mass flow ratings as that certified under 4.1.2, and to avoid the testing of each EGC unit, the equipment manufacturer may submit, for acceptance by the Administration, a conformity of production arrangement. The</w:t>
      </w:r>
    </w:p>
    <w:p>
      <w:pPr>
        <w:spacing w:after="0"/>
        <w:jc w:val="both"/>
        <w:sectPr>
          <w:pgSz w:w="11910" w:h="16840"/>
          <w:pgMar w:header="856" w:footer="805" w:top="1540" w:bottom="1060" w:left="1100" w:right="1000"/>
        </w:sectPr>
      </w:pPr>
    </w:p>
    <w:p>
      <w:pPr>
        <w:pStyle w:val="BodyText"/>
        <w:spacing w:before="89"/>
        <w:ind w:left="318" w:right="415"/>
        <w:jc w:val="both"/>
      </w:pPr>
      <w:r>
        <w:rPr/>
        <w:t>certification of each EGC unit under this arrangement should be subject to such surveys that the Administration may consider necessary as to assure that each EGC unit has an emission value of not more than the Certified Value when operated in accordance with the parameters defined in paragraph 4.2.2.1.2.</w:t>
      </w:r>
    </w:p>
    <w:p>
      <w:pPr>
        <w:pStyle w:val="BodyText"/>
      </w:pPr>
    </w:p>
    <w:p>
      <w:pPr>
        <w:pStyle w:val="Heading2"/>
        <w:numPr>
          <w:ilvl w:val="2"/>
          <w:numId w:val="2"/>
        </w:numPr>
        <w:tabs>
          <w:tab w:pos="1171" w:val="left" w:leader="none"/>
        </w:tabs>
        <w:spacing w:line="240" w:lineRule="auto" w:before="0" w:after="0"/>
        <w:ind w:left="1170" w:right="0" w:hanging="853"/>
        <w:jc w:val="both"/>
        <w:rPr>
          <w:i/>
        </w:rPr>
      </w:pPr>
      <w:r>
        <w:rPr>
          <w:i/>
        </w:rPr>
        <w:t>Product range</w:t>
      </w:r>
      <w:r>
        <w:rPr>
          <w:i/>
          <w:spacing w:val="-2"/>
        </w:rPr>
        <w:t> </w:t>
      </w:r>
      <w:r>
        <w:rPr>
          <w:i/>
        </w:rPr>
        <w:t>approval</w:t>
      </w:r>
    </w:p>
    <w:p>
      <w:pPr>
        <w:pStyle w:val="BodyText"/>
        <w:spacing w:before="10"/>
        <w:rPr>
          <w:b/>
          <w:i/>
          <w:sz w:val="21"/>
        </w:rPr>
      </w:pPr>
    </w:p>
    <w:p>
      <w:pPr>
        <w:pStyle w:val="ListParagraph"/>
        <w:numPr>
          <w:ilvl w:val="3"/>
          <w:numId w:val="4"/>
        </w:numPr>
        <w:tabs>
          <w:tab w:pos="1159" w:val="left" w:leader="none"/>
        </w:tabs>
        <w:spacing w:line="240" w:lineRule="auto" w:before="0" w:after="0"/>
        <w:ind w:left="318" w:right="411" w:firstLine="0"/>
        <w:jc w:val="both"/>
        <w:rPr>
          <w:sz w:val="22"/>
        </w:rPr>
      </w:pPr>
      <w:r>
        <w:rPr>
          <w:sz w:val="22"/>
        </w:rPr>
        <w:t>In the case of an EGC unit of the same design, but of different maximum exhaust gas mass flow capacities, the Administration may accept, in lieu of tests on an EGC unit of all capacities in accordance with section 4.1.2, tests of EGC systems of three different capacities provided that the three tests are performed at intervals including the highest, lowest and one intermediate capacity rating within the</w:t>
      </w:r>
      <w:r>
        <w:rPr>
          <w:spacing w:val="-5"/>
          <w:sz w:val="22"/>
        </w:rPr>
        <w:t> </w:t>
      </w:r>
      <w:r>
        <w:rPr>
          <w:sz w:val="22"/>
        </w:rPr>
        <w:t>range.</w:t>
      </w:r>
    </w:p>
    <w:p>
      <w:pPr>
        <w:pStyle w:val="BodyText"/>
      </w:pPr>
    </w:p>
    <w:p>
      <w:pPr>
        <w:pStyle w:val="ListParagraph"/>
        <w:numPr>
          <w:ilvl w:val="3"/>
          <w:numId w:val="4"/>
        </w:numPr>
        <w:tabs>
          <w:tab w:pos="1159" w:val="left" w:leader="none"/>
        </w:tabs>
        <w:spacing w:line="240" w:lineRule="auto" w:before="0" w:after="0"/>
        <w:ind w:left="318" w:right="413" w:firstLine="0"/>
        <w:jc w:val="both"/>
        <w:rPr>
          <w:sz w:val="22"/>
        </w:rPr>
      </w:pPr>
      <w:r>
        <w:rPr>
          <w:sz w:val="22"/>
        </w:rPr>
        <w:t>Where there are significant differences in the design of EGC units of different capacities, this procedure should not be applied unless it can be shown, to the satisfaction of the Administration, that in practice those differences do not materially alter the performance between the various EGC unit</w:t>
      </w:r>
      <w:r>
        <w:rPr>
          <w:spacing w:val="-2"/>
          <w:sz w:val="22"/>
        </w:rPr>
        <w:t> </w:t>
      </w:r>
      <w:r>
        <w:rPr>
          <w:sz w:val="22"/>
        </w:rPr>
        <w:t>types.</w:t>
      </w:r>
    </w:p>
    <w:p>
      <w:pPr>
        <w:pStyle w:val="BodyText"/>
        <w:spacing w:before="1"/>
      </w:pPr>
    </w:p>
    <w:p>
      <w:pPr>
        <w:pStyle w:val="ListParagraph"/>
        <w:numPr>
          <w:ilvl w:val="3"/>
          <w:numId w:val="4"/>
        </w:numPr>
        <w:tabs>
          <w:tab w:pos="1159" w:val="left" w:leader="none"/>
        </w:tabs>
        <w:spacing w:line="240" w:lineRule="auto" w:before="0" w:after="0"/>
        <w:ind w:left="318" w:right="412" w:firstLine="0"/>
        <w:jc w:val="both"/>
        <w:rPr>
          <w:sz w:val="22"/>
        </w:rPr>
      </w:pPr>
      <w:r>
        <w:rPr>
          <w:sz w:val="22"/>
        </w:rPr>
        <w:t>For EGC units of different capacities, the sensitivity to variations in the type of combustion machinery to which they are fitted should be detailed together with sensitivity to the variations in the parameters listed in paragraph 4.2.2.1.2. This should be on the basis of testing, or other data as</w:t>
      </w:r>
      <w:r>
        <w:rPr>
          <w:spacing w:val="-8"/>
          <w:sz w:val="22"/>
        </w:rPr>
        <w:t> </w:t>
      </w:r>
      <w:r>
        <w:rPr>
          <w:sz w:val="22"/>
        </w:rPr>
        <w:t>appropriate.</w:t>
      </w:r>
    </w:p>
    <w:p>
      <w:pPr>
        <w:pStyle w:val="BodyText"/>
        <w:spacing w:before="10"/>
        <w:rPr>
          <w:sz w:val="21"/>
        </w:rPr>
      </w:pPr>
    </w:p>
    <w:p>
      <w:pPr>
        <w:pStyle w:val="ListParagraph"/>
        <w:numPr>
          <w:ilvl w:val="3"/>
          <w:numId w:val="4"/>
        </w:numPr>
        <w:tabs>
          <w:tab w:pos="1159" w:val="left" w:leader="none"/>
        </w:tabs>
        <w:spacing w:line="240" w:lineRule="auto" w:before="0" w:after="0"/>
        <w:ind w:left="318" w:right="417" w:firstLine="0"/>
        <w:jc w:val="both"/>
        <w:rPr>
          <w:sz w:val="22"/>
        </w:rPr>
      </w:pPr>
      <w:r>
        <w:rPr>
          <w:sz w:val="22"/>
        </w:rPr>
        <w:t>The effect of changes of EGC unit capacity on washwater characteristics should be detailed.</w:t>
      </w:r>
    </w:p>
    <w:p>
      <w:pPr>
        <w:pStyle w:val="BodyText"/>
        <w:spacing w:before="1"/>
      </w:pPr>
    </w:p>
    <w:p>
      <w:pPr>
        <w:pStyle w:val="ListParagraph"/>
        <w:numPr>
          <w:ilvl w:val="3"/>
          <w:numId w:val="4"/>
        </w:numPr>
        <w:tabs>
          <w:tab w:pos="1159" w:val="left" w:leader="none"/>
        </w:tabs>
        <w:spacing w:line="240" w:lineRule="auto" w:before="0" w:after="0"/>
        <w:ind w:left="318" w:right="418" w:firstLine="0"/>
        <w:jc w:val="both"/>
        <w:rPr>
          <w:sz w:val="22"/>
        </w:rPr>
      </w:pPr>
      <w:r>
        <w:rPr>
          <w:sz w:val="22"/>
        </w:rPr>
        <w:t>All supporting data obtained in accordance with this section, together with the ETM-A for each capacity unit, should be submitted to the Administration for</w:t>
      </w:r>
      <w:r>
        <w:rPr>
          <w:spacing w:val="-21"/>
          <w:sz w:val="22"/>
        </w:rPr>
        <w:t> </w:t>
      </w:r>
      <w:r>
        <w:rPr>
          <w:sz w:val="22"/>
        </w:rPr>
        <w:t>approval.</w:t>
      </w:r>
    </w:p>
    <w:p>
      <w:pPr>
        <w:pStyle w:val="BodyText"/>
      </w:pPr>
    </w:p>
    <w:p>
      <w:pPr>
        <w:pStyle w:val="Heading1"/>
        <w:numPr>
          <w:ilvl w:val="1"/>
          <w:numId w:val="5"/>
        </w:numPr>
        <w:tabs>
          <w:tab w:pos="1171" w:val="left" w:leader="none"/>
        </w:tabs>
        <w:spacing w:line="240" w:lineRule="auto" w:before="0" w:after="0"/>
        <w:ind w:left="1170" w:right="0" w:hanging="853"/>
        <w:jc w:val="both"/>
      </w:pPr>
      <w:r>
        <w:rPr/>
        <w:t>Survey and</w:t>
      </w:r>
      <w:r>
        <w:rPr>
          <w:spacing w:val="-5"/>
        </w:rPr>
        <w:t> </w:t>
      </w:r>
      <w:r>
        <w:rPr/>
        <w:t>certification</w:t>
      </w:r>
    </w:p>
    <w:p>
      <w:pPr>
        <w:pStyle w:val="BodyText"/>
        <w:spacing w:before="3"/>
        <w:rPr>
          <w:b/>
        </w:rPr>
      </w:pPr>
    </w:p>
    <w:p>
      <w:pPr>
        <w:pStyle w:val="Heading2"/>
        <w:numPr>
          <w:ilvl w:val="2"/>
          <w:numId w:val="5"/>
        </w:numPr>
        <w:tabs>
          <w:tab w:pos="1171" w:val="left" w:leader="none"/>
        </w:tabs>
        <w:spacing w:line="240" w:lineRule="auto" w:before="0" w:after="0"/>
        <w:ind w:left="1170" w:right="0" w:hanging="853"/>
        <w:jc w:val="both"/>
        <w:rPr>
          <w:i/>
        </w:rPr>
      </w:pPr>
      <w:r>
        <w:rPr>
          <w:i/>
        </w:rPr>
        <w:t>Procedures for the certification of an EGC</w:t>
      </w:r>
      <w:r>
        <w:rPr>
          <w:i/>
          <w:spacing w:val="-10"/>
        </w:rPr>
        <w:t> </w:t>
      </w:r>
      <w:r>
        <w:rPr>
          <w:i/>
        </w:rPr>
        <w:t>unit</w:t>
      </w:r>
    </w:p>
    <w:p>
      <w:pPr>
        <w:pStyle w:val="BodyText"/>
        <w:rPr>
          <w:b/>
          <w:i/>
        </w:rPr>
      </w:pPr>
    </w:p>
    <w:p>
      <w:pPr>
        <w:pStyle w:val="ListParagraph"/>
        <w:numPr>
          <w:ilvl w:val="3"/>
          <w:numId w:val="5"/>
        </w:numPr>
        <w:tabs>
          <w:tab w:pos="1159" w:val="left" w:leader="none"/>
        </w:tabs>
        <w:spacing w:line="240" w:lineRule="auto" w:before="0" w:after="0"/>
        <w:ind w:left="318" w:right="416" w:firstLine="0"/>
        <w:jc w:val="both"/>
        <w:rPr>
          <w:sz w:val="22"/>
        </w:rPr>
      </w:pPr>
      <w:r>
        <w:rPr>
          <w:sz w:val="22"/>
        </w:rPr>
        <w:t>In order to meet the requirements of section 4.1 either prior to, or after installation on board, each EGC unit should be certified as meeting the Certified Value specified by the manufacturer (e.g. the emission level the unit is capable of achieving on a continuous basis) under the operating conditions and restrictions as given by the EGC Technical Manual (ETM-A) as approved by the</w:t>
      </w:r>
      <w:r>
        <w:rPr>
          <w:spacing w:val="-4"/>
          <w:sz w:val="22"/>
        </w:rPr>
        <w:t> </w:t>
      </w:r>
      <w:r>
        <w:rPr>
          <w:sz w:val="22"/>
        </w:rPr>
        <w:t>Administration.</w:t>
      </w:r>
    </w:p>
    <w:p>
      <w:pPr>
        <w:pStyle w:val="BodyText"/>
        <w:spacing w:before="11"/>
        <w:rPr>
          <w:sz w:val="21"/>
        </w:rPr>
      </w:pPr>
    </w:p>
    <w:p>
      <w:pPr>
        <w:pStyle w:val="ListParagraph"/>
        <w:numPr>
          <w:ilvl w:val="3"/>
          <w:numId w:val="5"/>
        </w:numPr>
        <w:tabs>
          <w:tab w:pos="1159" w:val="left" w:leader="none"/>
        </w:tabs>
        <w:spacing w:line="240" w:lineRule="auto" w:before="0" w:after="0"/>
        <w:ind w:left="318" w:right="421" w:firstLine="0"/>
        <w:jc w:val="both"/>
        <w:rPr>
          <w:sz w:val="22"/>
        </w:rPr>
      </w:pPr>
      <w:r>
        <w:rPr>
          <w:sz w:val="22"/>
        </w:rPr>
        <w:t>Determination of the Certified Value should be in accordance with the provisions of these</w:t>
      </w:r>
      <w:r>
        <w:rPr>
          <w:spacing w:val="-3"/>
          <w:sz w:val="22"/>
        </w:rPr>
        <w:t> </w:t>
      </w:r>
      <w:r>
        <w:rPr>
          <w:sz w:val="22"/>
        </w:rPr>
        <w:t>guidelines.</w:t>
      </w:r>
    </w:p>
    <w:p>
      <w:pPr>
        <w:pStyle w:val="BodyText"/>
        <w:spacing w:before="11"/>
        <w:rPr>
          <w:sz w:val="21"/>
        </w:rPr>
      </w:pPr>
    </w:p>
    <w:p>
      <w:pPr>
        <w:pStyle w:val="ListParagraph"/>
        <w:numPr>
          <w:ilvl w:val="3"/>
          <w:numId w:val="5"/>
        </w:numPr>
        <w:tabs>
          <w:tab w:pos="1159" w:val="left" w:leader="none"/>
        </w:tabs>
        <w:spacing w:line="240" w:lineRule="auto" w:before="0" w:after="0"/>
        <w:ind w:left="318" w:right="412" w:firstLine="0"/>
        <w:jc w:val="both"/>
        <w:rPr>
          <w:sz w:val="22"/>
        </w:rPr>
      </w:pPr>
      <w:r>
        <w:rPr>
          <w:sz w:val="22"/>
        </w:rPr>
        <w:t>Each EGC unit meeting the requirements of paragraph 4.2.1.1 should be issued with a SECC by the Administration. The form of the SECC is given in appendix</w:t>
      </w:r>
      <w:r>
        <w:rPr>
          <w:spacing w:val="-14"/>
          <w:sz w:val="22"/>
        </w:rPr>
        <w:t> </w:t>
      </w:r>
      <w:r>
        <w:rPr>
          <w:sz w:val="22"/>
        </w:rPr>
        <w:t>1.</w:t>
      </w:r>
    </w:p>
    <w:p>
      <w:pPr>
        <w:pStyle w:val="BodyText"/>
        <w:spacing w:before="2"/>
      </w:pPr>
    </w:p>
    <w:p>
      <w:pPr>
        <w:pStyle w:val="ListParagraph"/>
        <w:numPr>
          <w:ilvl w:val="3"/>
          <w:numId w:val="5"/>
        </w:numPr>
        <w:tabs>
          <w:tab w:pos="1159" w:val="left" w:leader="none"/>
        </w:tabs>
        <w:spacing w:line="240" w:lineRule="auto" w:before="0" w:after="0"/>
        <w:ind w:left="318" w:right="420" w:firstLine="0"/>
        <w:jc w:val="both"/>
        <w:rPr>
          <w:sz w:val="22"/>
        </w:rPr>
      </w:pPr>
      <w:r>
        <w:rPr>
          <w:sz w:val="22"/>
        </w:rPr>
        <w:t>Application for an SECC should be made by the EGC system manufacturer, shipowner or other</w:t>
      </w:r>
      <w:r>
        <w:rPr>
          <w:spacing w:val="2"/>
          <w:sz w:val="22"/>
        </w:rPr>
        <w:t> </w:t>
      </w:r>
      <w:r>
        <w:rPr>
          <w:sz w:val="22"/>
        </w:rPr>
        <w:t>party.</w:t>
      </w:r>
    </w:p>
    <w:p>
      <w:pPr>
        <w:pStyle w:val="BodyText"/>
      </w:pPr>
    </w:p>
    <w:p>
      <w:pPr>
        <w:pStyle w:val="ListParagraph"/>
        <w:numPr>
          <w:ilvl w:val="3"/>
          <w:numId w:val="5"/>
        </w:numPr>
        <w:tabs>
          <w:tab w:pos="1159" w:val="left" w:leader="none"/>
        </w:tabs>
        <w:spacing w:line="240" w:lineRule="auto" w:before="0" w:after="0"/>
        <w:ind w:left="318" w:right="419" w:firstLine="0"/>
        <w:jc w:val="both"/>
        <w:rPr>
          <w:sz w:val="22"/>
        </w:rPr>
      </w:pPr>
      <w:r>
        <w:rPr>
          <w:sz w:val="22"/>
        </w:rPr>
        <w:t>Any subsequent EGC units of the same design and rating as that certified under paragraph 4.2.1.1 may be issued with an SECC by the Administration without the need for testing in accordance with paragraph 4.2.1.1 subject to section 4.1.3 of these</w:t>
      </w:r>
      <w:r>
        <w:rPr>
          <w:spacing w:val="-17"/>
          <w:sz w:val="22"/>
        </w:rPr>
        <w:t> </w:t>
      </w:r>
      <w:r>
        <w:rPr>
          <w:sz w:val="22"/>
        </w:rPr>
        <w:t>guidelines.</w:t>
      </w:r>
    </w:p>
    <w:p>
      <w:pPr>
        <w:spacing w:after="0" w:line="240" w:lineRule="auto"/>
        <w:jc w:val="both"/>
        <w:rPr>
          <w:sz w:val="22"/>
        </w:rPr>
        <w:sectPr>
          <w:pgSz w:w="11910" w:h="16840"/>
          <w:pgMar w:header="856" w:footer="865" w:top="1540" w:bottom="1000" w:left="1100" w:right="1000"/>
        </w:sectPr>
      </w:pPr>
    </w:p>
    <w:p>
      <w:pPr>
        <w:pStyle w:val="ListParagraph"/>
        <w:numPr>
          <w:ilvl w:val="3"/>
          <w:numId w:val="5"/>
        </w:numPr>
        <w:tabs>
          <w:tab w:pos="1159" w:val="left" w:leader="none"/>
        </w:tabs>
        <w:spacing w:line="240" w:lineRule="auto" w:before="89" w:after="0"/>
        <w:ind w:left="318" w:right="413" w:firstLine="0"/>
        <w:jc w:val="both"/>
        <w:rPr>
          <w:sz w:val="22"/>
        </w:rPr>
      </w:pPr>
      <w:r>
        <w:rPr>
          <w:sz w:val="22"/>
        </w:rPr>
        <w:t>EGC units of the same design, but with ratings different from that certified under paragraph 4.2.1.1 may be accepted by the Administration subject to section 4.1.4 of these guidelines.</w:t>
      </w:r>
    </w:p>
    <w:p>
      <w:pPr>
        <w:pStyle w:val="ListParagraph"/>
        <w:numPr>
          <w:ilvl w:val="3"/>
          <w:numId w:val="5"/>
        </w:numPr>
        <w:tabs>
          <w:tab w:pos="1159" w:val="left" w:leader="none"/>
        </w:tabs>
        <w:spacing w:line="240" w:lineRule="auto" w:before="208" w:after="0"/>
        <w:ind w:left="318" w:right="417" w:firstLine="0"/>
        <w:jc w:val="both"/>
        <w:rPr>
          <w:sz w:val="22"/>
        </w:rPr>
      </w:pPr>
      <w:r>
        <w:rPr>
          <w:sz w:val="22"/>
        </w:rPr>
        <w:t>EGC units which treat only part of the exhaust gas flow of the uptake in which they are fitted should be subject to special consideration by the Administration to ensure that under all defined operating conditions that the overall emission value of the exhaust gas downstream of the system is no more than the Certified</w:t>
      </w:r>
      <w:r>
        <w:rPr>
          <w:spacing w:val="-11"/>
          <w:sz w:val="22"/>
        </w:rPr>
        <w:t> </w:t>
      </w:r>
      <w:r>
        <w:rPr>
          <w:sz w:val="22"/>
        </w:rPr>
        <w:t>Value.</w:t>
      </w:r>
    </w:p>
    <w:p>
      <w:pPr>
        <w:pStyle w:val="Heading2"/>
        <w:numPr>
          <w:ilvl w:val="2"/>
          <w:numId w:val="5"/>
        </w:numPr>
        <w:tabs>
          <w:tab w:pos="1171" w:val="left" w:leader="none"/>
        </w:tabs>
        <w:spacing w:line="240" w:lineRule="auto" w:before="208" w:after="0"/>
        <w:ind w:left="1170" w:right="0" w:hanging="853"/>
        <w:jc w:val="both"/>
        <w:rPr>
          <w:i/>
        </w:rPr>
      </w:pPr>
      <w:r>
        <w:rPr>
          <w:i/>
        </w:rPr>
        <w:t>EGC System Technical Manual </w:t>
      </w:r>
      <w:r>
        <w:rPr>
          <w:b w:val="0"/>
          <w:i w:val="0"/>
        </w:rPr>
        <w:t>"</w:t>
      </w:r>
      <w:r>
        <w:rPr>
          <w:i/>
        </w:rPr>
        <w:t>Scheme A</w:t>
      </w:r>
      <w:r>
        <w:rPr>
          <w:b w:val="0"/>
          <w:i w:val="0"/>
        </w:rPr>
        <w:t>"</w:t>
      </w:r>
      <w:r>
        <w:rPr>
          <w:b w:val="0"/>
          <w:i w:val="0"/>
          <w:spacing w:val="-4"/>
        </w:rPr>
        <w:t> </w:t>
      </w:r>
      <w:r>
        <w:rPr>
          <w:i/>
        </w:rPr>
        <w:t>(ETM-A)</w:t>
      </w:r>
    </w:p>
    <w:p>
      <w:pPr>
        <w:pStyle w:val="ListParagraph"/>
        <w:numPr>
          <w:ilvl w:val="3"/>
          <w:numId w:val="5"/>
        </w:numPr>
        <w:tabs>
          <w:tab w:pos="1159" w:val="left" w:leader="none"/>
        </w:tabs>
        <w:spacing w:line="240" w:lineRule="auto" w:before="205" w:after="0"/>
        <w:ind w:left="318" w:right="415" w:firstLine="0"/>
        <w:jc w:val="both"/>
        <w:rPr>
          <w:sz w:val="22"/>
        </w:rPr>
      </w:pPr>
      <w:r>
        <w:rPr>
          <w:sz w:val="22"/>
        </w:rPr>
        <w:t>Each EGC unit should be supplied with an ETM-A provided by the manufacturer. This ETM-A should, as a minimum, contain the following</w:t>
      </w:r>
      <w:r>
        <w:rPr>
          <w:spacing w:val="-10"/>
          <w:sz w:val="22"/>
        </w:rPr>
        <w:t> </w:t>
      </w:r>
      <w:r>
        <w:rPr>
          <w:sz w:val="22"/>
        </w:rPr>
        <w:t>information:</w:t>
      </w:r>
    </w:p>
    <w:p>
      <w:pPr>
        <w:pStyle w:val="ListParagraph"/>
        <w:numPr>
          <w:ilvl w:val="4"/>
          <w:numId w:val="5"/>
        </w:numPr>
        <w:tabs>
          <w:tab w:pos="2020" w:val="left" w:leader="none"/>
          <w:tab w:pos="2021" w:val="left" w:leader="none"/>
        </w:tabs>
        <w:spacing w:line="240" w:lineRule="auto" w:before="207" w:after="0"/>
        <w:ind w:left="2020" w:right="420" w:hanging="850"/>
        <w:jc w:val="both"/>
        <w:rPr>
          <w:sz w:val="22"/>
        </w:rPr>
      </w:pPr>
      <w:r>
        <w:rPr>
          <w:sz w:val="22"/>
        </w:rPr>
        <w:t>the identification of the unit (manufacturer, model/type, serial number and other details as necessary) including a description of the unit and any required ancillary</w:t>
      </w:r>
      <w:r>
        <w:rPr>
          <w:spacing w:val="-2"/>
          <w:sz w:val="22"/>
        </w:rPr>
        <w:t> </w:t>
      </w:r>
      <w:r>
        <w:rPr>
          <w:sz w:val="22"/>
        </w:rPr>
        <w:t>systems;</w:t>
      </w:r>
    </w:p>
    <w:p>
      <w:pPr>
        <w:pStyle w:val="ListParagraph"/>
        <w:numPr>
          <w:ilvl w:val="4"/>
          <w:numId w:val="5"/>
        </w:numPr>
        <w:tabs>
          <w:tab w:pos="2020" w:val="left" w:leader="none"/>
          <w:tab w:pos="2021" w:val="left" w:leader="none"/>
        </w:tabs>
        <w:spacing w:line="240" w:lineRule="auto" w:before="209" w:after="0"/>
        <w:ind w:left="2020" w:right="421" w:hanging="850"/>
        <w:jc w:val="both"/>
        <w:rPr>
          <w:sz w:val="22"/>
        </w:rPr>
      </w:pPr>
      <w:r>
        <w:rPr>
          <w:sz w:val="22"/>
        </w:rPr>
        <w:t>the operating limits, or range of operating values, for which the unit is certified. These should, as a minimum,</w:t>
      </w:r>
      <w:r>
        <w:rPr>
          <w:spacing w:val="-9"/>
          <w:sz w:val="22"/>
        </w:rPr>
        <w:t> </w:t>
      </w:r>
      <w:r>
        <w:rPr>
          <w:sz w:val="22"/>
        </w:rPr>
        <w:t>include:</w:t>
      </w:r>
    </w:p>
    <w:p>
      <w:pPr>
        <w:pStyle w:val="ListParagraph"/>
        <w:numPr>
          <w:ilvl w:val="5"/>
          <w:numId w:val="5"/>
        </w:numPr>
        <w:tabs>
          <w:tab w:pos="2869" w:val="left" w:leader="none"/>
          <w:tab w:pos="2870" w:val="left" w:leader="none"/>
        </w:tabs>
        <w:spacing w:line="240" w:lineRule="auto" w:before="206" w:after="0"/>
        <w:ind w:left="2870" w:right="421" w:hanging="850"/>
        <w:jc w:val="both"/>
        <w:rPr>
          <w:sz w:val="22"/>
        </w:rPr>
      </w:pPr>
      <w:r>
        <w:rPr>
          <w:sz w:val="22"/>
        </w:rPr>
        <w:t>maximum and, if applicable, minimum  mass  flow  rate  of  exhaust</w:t>
      </w:r>
      <w:r>
        <w:rPr>
          <w:spacing w:val="1"/>
          <w:sz w:val="22"/>
        </w:rPr>
        <w:t> </w:t>
      </w:r>
      <w:r>
        <w:rPr>
          <w:sz w:val="22"/>
        </w:rPr>
        <w:t>gas;</w:t>
      </w:r>
    </w:p>
    <w:p>
      <w:pPr>
        <w:pStyle w:val="BodyText"/>
        <w:spacing w:before="1"/>
        <w:rPr>
          <w:sz w:val="20"/>
        </w:rPr>
      </w:pPr>
    </w:p>
    <w:p>
      <w:pPr>
        <w:pStyle w:val="ListParagraph"/>
        <w:numPr>
          <w:ilvl w:val="5"/>
          <w:numId w:val="5"/>
        </w:numPr>
        <w:tabs>
          <w:tab w:pos="2869" w:val="left" w:leader="none"/>
          <w:tab w:pos="2870" w:val="left" w:leader="none"/>
        </w:tabs>
        <w:spacing w:line="240" w:lineRule="auto" w:before="0" w:after="0"/>
        <w:ind w:left="2870" w:right="418" w:hanging="850"/>
        <w:jc w:val="both"/>
        <w:rPr>
          <w:sz w:val="22"/>
        </w:rPr>
      </w:pPr>
      <w:r>
        <w:rPr>
          <w:sz w:val="22"/>
        </w:rPr>
        <w:t>the power, type and other relevant parameters of the fuel oil combustion unit for which the EGC unit is to be fitted. In the cases of boilers, the maximum air/fuel ratio at 100% load should also be given. In the cases of diesel engines whether the engine is of 2 or 4-stroke</w:t>
      </w:r>
      <w:r>
        <w:rPr>
          <w:spacing w:val="-3"/>
          <w:sz w:val="22"/>
        </w:rPr>
        <w:t> </w:t>
      </w:r>
      <w:r>
        <w:rPr>
          <w:sz w:val="22"/>
        </w:rPr>
        <w:t>cycle;</w:t>
      </w:r>
    </w:p>
    <w:p>
      <w:pPr>
        <w:pStyle w:val="BodyText"/>
        <w:spacing w:before="10"/>
        <w:rPr>
          <w:sz w:val="19"/>
        </w:rPr>
      </w:pPr>
    </w:p>
    <w:p>
      <w:pPr>
        <w:pStyle w:val="ListParagraph"/>
        <w:numPr>
          <w:ilvl w:val="5"/>
          <w:numId w:val="5"/>
        </w:numPr>
        <w:tabs>
          <w:tab w:pos="2869" w:val="left" w:leader="none"/>
          <w:tab w:pos="2870" w:val="left" w:leader="none"/>
        </w:tabs>
        <w:spacing w:line="240" w:lineRule="auto" w:before="0" w:after="0"/>
        <w:ind w:left="2870" w:right="419" w:hanging="850"/>
        <w:jc w:val="both"/>
        <w:rPr>
          <w:sz w:val="22"/>
        </w:rPr>
      </w:pPr>
      <w:r>
        <w:rPr>
          <w:sz w:val="22"/>
        </w:rPr>
        <w:t>maximum and minimum washwater flow rate, inlet pressures and minimum inlet water alkalinity (ISO 9963-1-2);</w:t>
      </w:r>
    </w:p>
    <w:p>
      <w:pPr>
        <w:pStyle w:val="BodyText"/>
        <w:spacing w:before="1"/>
        <w:rPr>
          <w:sz w:val="20"/>
        </w:rPr>
      </w:pPr>
    </w:p>
    <w:p>
      <w:pPr>
        <w:pStyle w:val="ListParagraph"/>
        <w:numPr>
          <w:ilvl w:val="5"/>
          <w:numId w:val="5"/>
        </w:numPr>
        <w:tabs>
          <w:tab w:pos="2869" w:val="left" w:leader="none"/>
          <w:tab w:pos="2870" w:val="left" w:leader="none"/>
        </w:tabs>
        <w:spacing w:line="240" w:lineRule="auto" w:before="0" w:after="0"/>
        <w:ind w:left="2870" w:right="421" w:hanging="850"/>
        <w:jc w:val="both"/>
        <w:rPr>
          <w:sz w:val="22"/>
        </w:rPr>
      </w:pPr>
      <w:r>
        <w:rPr>
          <w:sz w:val="22"/>
        </w:rPr>
        <w:t>exhaust gas inlet temperature ranges and maximum and minimum exhaust gas outlet temperature with the EGC unit in</w:t>
      </w:r>
      <w:r>
        <w:rPr>
          <w:spacing w:val="-11"/>
          <w:sz w:val="22"/>
        </w:rPr>
        <w:t> </w:t>
      </w:r>
      <w:r>
        <w:rPr>
          <w:sz w:val="22"/>
        </w:rPr>
        <w:t>operation;</w:t>
      </w:r>
    </w:p>
    <w:p>
      <w:pPr>
        <w:pStyle w:val="BodyText"/>
        <w:spacing w:before="1"/>
        <w:rPr>
          <w:sz w:val="20"/>
        </w:rPr>
      </w:pPr>
    </w:p>
    <w:p>
      <w:pPr>
        <w:pStyle w:val="ListParagraph"/>
        <w:numPr>
          <w:ilvl w:val="5"/>
          <w:numId w:val="5"/>
        </w:numPr>
        <w:tabs>
          <w:tab w:pos="2869" w:val="left" w:leader="none"/>
          <w:tab w:pos="2870" w:val="left" w:leader="none"/>
        </w:tabs>
        <w:spacing w:line="240" w:lineRule="auto" w:before="0" w:after="0"/>
        <w:ind w:left="2870" w:right="414" w:hanging="850"/>
        <w:jc w:val="both"/>
        <w:rPr>
          <w:sz w:val="22"/>
        </w:rPr>
      </w:pPr>
      <w:r>
        <w:rPr>
          <w:sz w:val="22"/>
        </w:rPr>
        <w:t>exhaust gas differential pressure range and the maximum exhaust gas inlet pressure with the fuel oil combustion unit operating at MCR or 80% of power rating whichever is</w:t>
      </w:r>
      <w:r>
        <w:rPr>
          <w:spacing w:val="-1"/>
          <w:sz w:val="22"/>
        </w:rPr>
        <w:t> </w:t>
      </w:r>
      <w:r>
        <w:rPr>
          <w:sz w:val="22"/>
        </w:rPr>
        <w:t>appropriate;</w:t>
      </w:r>
    </w:p>
    <w:p>
      <w:pPr>
        <w:pStyle w:val="BodyText"/>
        <w:rPr>
          <w:sz w:val="20"/>
        </w:rPr>
      </w:pPr>
    </w:p>
    <w:p>
      <w:pPr>
        <w:pStyle w:val="ListParagraph"/>
        <w:numPr>
          <w:ilvl w:val="5"/>
          <w:numId w:val="5"/>
        </w:numPr>
        <w:tabs>
          <w:tab w:pos="2869" w:val="left" w:leader="none"/>
          <w:tab w:pos="2870" w:val="left" w:leader="none"/>
        </w:tabs>
        <w:spacing w:line="240" w:lineRule="auto" w:before="0" w:after="0"/>
        <w:ind w:left="2870" w:right="419" w:hanging="850"/>
        <w:jc w:val="both"/>
        <w:rPr>
          <w:sz w:val="22"/>
        </w:rPr>
      </w:pPr>
      <w:r>
        <w:rPr>
          <w:sz w:val="22"/>
        </w:rPr>
        <w:t>salinity levels or fresh water elements necessary to provide adequate neutralizing agents;</w:t>
      </w:r>
      <w:r>
        <w:rPr>
          <w:spacing w:val="1"/>
          <w:sz w:val="22"/>
        </w:rPr>
        <w:t> </w:t>
      </w:r>
      <w:r>
        <w:rPr>
          <w:sz w:val="22"/>
        </w:rPr>
        <w:t>and</w:t>
      </w:r>
    </w:p>
    <w:p>
      <w:pPr>
        <w:pStyle w:val="BodyText"/>
        <w:spacing w:before="10"/>
        <w:rPr>
          <w:sz w:val="19"/>
        </w:rPr>
      </w:pPr>
    </w:p>
    <w:p>
      <w:pPr>
        <w:pStyle w:val="ListParagraph"/>
        <w:numPr>
          <w:ilvl w:val="5"/>
          <w:numId w:val="5"/>
        </w:numPr>
        <w:tabs>
          <w:tab w:pos="2869" w:val="left" w:leader="none"/>
          <w:tab w:pos="2870" w:val="left" w:leader="none"/>
        </w:tabs>
        <w:spacing w:line="240" w:lineRule="auto" w:before="0" w:after="0"/>
        <w:ind w:left="2870" w:right="418" w:hanging="850"/>
        <w:jc w:val="both"/>
        <w:rPr>
          <w:sz w:val="22"/>
        </w:rPr>
      </w:pPr>
      <w:r>
        <w:rPr>
          <w:sz w:val="22"/>
        </w:rPr>
        <w:t>other factors concerning the design and operation of the EGC unit relevant to </w:t>
      </w:r>
      <w:r>
        <w:rPr>
          <w:spacing w:val="-3"/>
          <w:sz w:val="22"/>
        </w:rPr>
        <w:t>achieving </w:t>
      </w:r>
      <w:r>
        <w:rPr>
          <w:sz w:val="22"/>
        </w:rPr>
        <w:t>a </w:t>
      </w:r>
      <w:r>
        <w:rPr>
          <w:spacing w:val="-3"/>
          <w:sz w:val="22"/>
        </w:rPr>
        <w:t>maximum emission value </w:t>
      </w:r>
      <w:r>
        <w:rPr>
          <w:sz w:val="22"/>
        </w:rPr>
        <w:t>no </w:t>
      </w:r>
      <w:r>
        <w:rPr>
          <w:spacing w:val="-3"/>
          <w:sz w:val="22"/>
        </w:rPr>
        <w:t>higher </w:t>
      </w:r>
      <w:r>
        <w:rPr>
          <w:sz w:val="22"/>
        </w:rPr>
        <w:t>than the </w:t>
      </w:r>
      <w:r>
        <w:rPr>
          <w:spacing w:val="-3"/>
          <w:sz w:val="22"/>
        </w:rPr>
        <w:t>Certified</w:t>
      </w:r>
      <w:r>
        <w:rPr>
          <w:spacing w:val="-4"/>
          <w:sz w:val="22"/>
        </w:rPr>
        <w:t> </w:t>
      </w:r>
      <w:r>
        <w:rPr>
          <w:spacing w:val="-3"/>
          <w:sz w:val="22"/>
        </w:rPr>
        <w:t>Value;</w:t>
      </w:r>
    </w:p>
    <w:p>
      <w:pPr>
        <w:pStyle w:val="BodyText"/>
        <w:spacing w:before="1"/>
      </w:pPr>
    </w:p>
    <w:p>
      <w:pPr>
        <w:pStyle w:val="ListParagraph"/>
        <w:numPr>
          <w:ilvl w:val="4"/>
          <w:numId w:val="5"/>
        </w:numPr>
        <w:tabs>
          <w:tab w:pos="2020" w:val="left" w:leader="none"/>
          <w:tab w:pos="2021" w:val="left" w:leader="none"/>
        </w:tabs>
        <w:spacing w:line="240" w:lineRule="auto" w:before="0" w:after="0"/>
        <w:ind w:left="2020" w:right="418" w:hanging="850"/>
        <w:jc w:val="both"/>
        <w:rPr>
          <w:sz w:val="22"/>
        </w:rPr>
      </w:pPr>
      <w:r>
        <w:rPr>
          <w:sz w:val="22"/>
        </w:rPr>
        <w:t>any requirements or restrictions applicable to the EGC unit or associated equipment necessary to enable the unit to achieve a maximum emission value no higher than the Certified</w:t>
      </w:r>
      <w:r>
        <w:rPr>
          <w:spacing w:val="-9"/>
          <w:sz w:val="22"/>
        </w:rPr>
        <w:t> </w:t>
      </w:r>
      <w:r>
        <w:rPr>
          <w:sz w:val="22"/>
        </w:rPr>
        <w:t>Value;</w:t>
      </w:r>
    </w:p>
    <w:p>
      <w:pPr>
        <w:pStyle w:val="BodyText"/>
        <w:spacing w:before="1"/>
      </w:pPr>
    </w:p>
    <w:p>
      <w:pPr>
        <w:pStyle w:val="ListParagraph"/>
        <w:numPr>
          <w:ilvl w:val="4"/>
          <w:numId w:val="5"/>
        </w:numPr>
        <w:tabs>
          <w:tab w:pos="2020" w:val="left" w:leader="none"/>
          <w:tab w:pos="2021" w:val="left" w:leader="none"/>
        </w:tabs>
        <w:spacing w:line="240" w:lineRule="auto" w:before="0" w:after="0"/>
        <w:ind w:left="2020" w:right="415" w:hanging="850"/>
        <w:jc w:val="both"/>
        <w:rPr>
          <w:sz w:val="22"/>
        </w:rPr>
      </w:pPr>
      <w:r>
        <w:rPr>
          <w:sz w:val="22"/>
        </w:rPr>
        <w:t>maintenance, service or adjustment requirements in order that the </w:t>
      </w:r>
      <w:r>
        <w:rPr>
          <w:spacing w:val="-2"/>
          <w:sz w:val="22"/>
        </w:rPr>
        <w:t>EGC</w:t>
      </w:r>
      <w:r>
        <w:rPr>
          <w:spacing w:val="57"/>
          <w:sz w:val="22"/>
        </w:rPr>
        <w:t> </w:t>
      </w:r>
      <w:r>
        <w:rPr>
          <w:sz w:val="22"/>
        </w:rPr>
        <w:t>unit can continue to achieve a maximum emission value no higher than the Certified Value. The maintenance, servicing and adjustments should be recorded in the EGC Record</w:t>
      </w:r>
      <w:r>
        <w:rPr>
          <w:spacing w:val="-3"/>
          <w:sz w:val="22"/>
        </w:rPr>
        <w:t> </w:t>
      </w:r>
      <w:r>
        <w:rPr>
          <w:sz w:val="22"/>
        </w:rPr>
        <w:t>Book;</w:t>
      </w:r>
    </w:p>
    <w:p>
      <w:pPr>
        <w:spacing w:after="0" w:line="240" w:lineRule="auto"/>
        <w:jc w:val="both"/>
        <w:rPr>
          <w:sz w:val="22"/>
        </w:rPr>
        <w:sectPr>
          <w:pgSz w:w="11910" w:h="16840"/>
          <w:pgMar w:header="856" w:footer="805" w:top="1540" w:bottom="1060" w:left="1100" w:right="1000"/>
        </w:sectPr>
      </w:pPr>
    </w:p>
    <w:p>
      <w:pPr>
        <w:pStyle w:val="ListParagraph"/>
        <w:numPr>
          <w:ilvl w:val="4"/>
          <w:numId w:val="5"/>
        </w:numPr>
        <w:tabs>
          <w:tab w:pos="2020" w:val="left" w:leader="none"/>
          <w:tab w:pos="2021" w:val="left" w:leader="none"/>
        </w:tabs>
        <w:spacing w:line="240" w:lineRule="auto" w:before="89" w:after="0"/>
        <w:ind w:left="2020" w:right="420" w:hanging="850"/>
        <w:jc w:val="both"/>
        <w:rPr>
          <w:sz w:val="22"/>
        </w:rPr>
      </w:pPr>
      <w:r>
        <w:rPr>
          <w:sz w:val="22"/>
        </w:rPr>
        <w:t>corrective actions in case of exceedances of the applicable maximum</w:t>
      </w:r>
      <w:r>
        <w:rPr>
          <w:position w:val="2"/>
          <w:sz w:val="22"/>
        </w:rPr>
        <w:t> allowable SO</w:t>
      </w:r>
      <w:r>
        <w:rPr>
          <w:sz w:val="14"/>
        </w:rPr>
        <w:t>2</w:t>
      </w:r>
      <w:r>
        <w:rPr>
          <w:position w:val="2"/>
          <w:sz w:val="22"/>
        </w:rPr>
        <w:t>/CO</w:t>
      </w:r>
      <w:r>
        <w:rPr>
          <w:sz w:val="14"/>
        </w:rPr>
        <w:t>2 </w:t>
      </w:r>
      <w:r>
        <w:rPr>
          <w:position w:val="2"/>
          <w:sz w:val="22"/>
        </w:rPr>
        <w:t>ratio, or wash water discharge</w:t>
      </w:r>
      <w:r>
        <w:rPr>
          <w:spacing w:val="-21"/>
          <w:position w:val="2"/>
          <w:sz w:val="22"/>
        </w:rPr>
        <w:t> </w:t>
      </w:r>
      <w:r>
        <w:rPr>
          <w:position w:val="2"/>
          <w:sz w:val="22"/>
        </w:rPr>
        <w:t>criteria;</w:t>
      </w:r>
    </w:p>
    <w:p>
      <w:pPr>
        <w:pStyle w:val="BodyText"/>
        <w:spacing w:before="10"/>
        <w:rPr>
          <w:sz w:val="21"/>
        </w:rPr>
      </w:pPr>
    </w:p>
    <w:p>
      <w:pPr>
        <w:pStyle w:val="ListParagraph"/>
        <w:numPr>
          <w:ilvl w:val="4"/>
          <w:numId w:val="5"/>
        </w:numPr>
        <w:tabs>
          <w:tab w:pos="2020" w:val="left" w:leader="none"/>
          <w:tab w:pos="2021" w:val="left" w:leader="none"/>
        </w:tabs>
        <w:spacing w:line="240" w:lineRule="auto" w:before="0" w:after="0"/>
        <w:ind w:left="2020" w:right="418" w:hanging="850"/>
        <w:jc w:val="both"/>
        <w:rPr>
          <w:sz w:val="22"/>
        </w:rPr>
      </w:pPr>
      <w:r>
        <w:rPr>
          <w:sz w:val="22"/>
        </w:rPr>
        <w:t>a verification procedure to be used at surveys to ensure that its performance  is  maintained  and  that  the  unit  is   used   as </w:t>
      </w:r>
      <w:r>
        <w:rPr>
          <w:spacing w:val="30"/>
          <w:sz w:val="22"/>
        </w:rPr>
        <w:t> </w:t>
      </w:r>
      <w:r>
        <w:rPr>
          <w:sz w:val="22"/>
        </w:rPr>
        <w:t>required (see section 4.4);</w:t>
      </w:r>
    </w:p>
    <w:p>
      <w:pPr>
        <w:pStyle w:val="BodyText"/>
        <w:spacing w:before="10"/>
        <w:rPr>
          <w:sz w:val="21"/>
        </w:rPr>
      </w:pPr>
    </w:p>
    <w:p>
      <w:pPr>
        <w:pStyle w:val="ListParagraph"/>
        <w:numPr>
          <w:ilvl w:val="4"/>
          <w:numId w:val="5"/>
        </w:numPr>
        <w:tabs>
          <w:tab w:pos="2020" w:val="left" w:leader="none"/>
          <w:tab w:pos="2021" w:val="left" w:leader="none"/>
        </w:tabs>
        <w:spacing w:line="240" w:lineRule="auto" w:before="0" w:after="0"/>
        <w:ind w:left="2020" w:right="0" w:hanging="851"/>
        <w:jc w:val="left"/>
        <w:rPr>
          <w:sz w:val="22"/>
        </w:rPr>
      </w:pPr>
      <w:r>
        <w:rPr>
          <w:sz w:val="22"/>
        </w:rPr>
        <w:t>through range performance variation in washwater</w:t>
      </w:r>
      <w:r>
        <w:rPr>
          <w:spacing w:val="-8"/>
          <w:sz w:val="22"/>
        </w:rPr>
        <w:t> </w:t>
      </w:r>
      <w:r>
        <w:rPr>
          <w:sz w:val="22"/>
        </w:rPr>
        <w:t>characteristics;</w:t>
      </w:r>
    </w:p>
    <w:p>
      <w:pPr>
        <w:pStyle w:val="BodyText"/>
        <w:spacing w:before="1"/>
      </w:pPr>
    </w:p>
    <w:p>
      <w:pPr>
        <w:pStyle w:val="ListParagraph"/>
        <w:numPr>
          <w:ilvl w:val="4"/>
          <w:numId w:val="5"/>
        </w:numPr>
        <w:tabs>
          <w:tab w:pos="2020" w:val="left" w:leader="none"/>
          <w:tab w:pos="2021" w:val="left" w:leader="none"/>
        </w:tabs>
        <w:spacing w:line="240" w:lineRule="auto" w:before="0" w:after="0"/>
        <w:ind w:left="2020" w:right="0" w:hanging="851"/>
        <w:jc w:val="left"/>
        <w:rPr>
          <w:sz w:val="22"/>
        </w:rPr>
      </w:pPr>
      <w:r>
        <w:rPr>
          <w:sz w:val="22"/>
        </w:rPr>
        <w:t>design requirements of the washwater system;</w:t>
      </w:r>
      <w:r>
        <w:rPr>
          <w:spacing w:val="-6"/>
          <w:sz w:val="22"/>
        </w:rPr>
        <w:t> </w:t>
      </w:r>
      <w:r>
        <w:rPr>
          <w:sz w:val="22"/>
        </w:rPr>
        <w:t>and</w:t>
      </w:r>
    </w:p>
    <w:p>
      <w:pPr>
        <w:pStyle w:val="BodyText"/>
      </w:pPr>
    </w:p>
    <w:p>
      <w:pPr>
        <w:pStyle w:val="ListParagraph"/>
        <w:numPr>
          <w:ilvl w:val="4"/>
          <w:numId w:val="5"/>
        </w:numPr>
        <w:tabs>
          <w:tab w:pos="2020" w:val="left" w:leader="none"/>
          <w:tab w:pos="2021" w:val="left" w:leader="none"/>
        </w:tabs>
        <w:spacing w:line="240" w:lineRule="auto" w:before="0" w:after="0"/>
        <w:ind w:left="2020" w:right="0" w:hanging="851"/>
        <w:jc w:val="left"/>
        <w:rPr>
          <w:sz w:val="22"/>
        </w:rPr>
      </w:pPr>
      <w:r>
        <w:rPr>
          <w:sz w:val="22"/>
        </w:rPr>
        <w:t>the</w:t>
      </w:r>
      <w:r>
        <w:rPr>
          <w:spacing w:val="-1"/>
          <w:sz w:val="22"/>
        </w:rPr>
        <w:t> </w:t>
      </w:r>
      <w:r>
        <w:rPr>
          <w:sz w:val="22"/>
        </w:rPr>
        <w:t>SECC.</w:t>
      </w:r>
    </w:p>
    <w:p>
      <w:pPr>
        <w:pStyle w:val="BodyText"/>
      </w:pPr>
    </w:p>
    <w:p>
      <w:pPr>
        <w:pStyle w:val="ListParagraph"/>
        <w:numPr>
          <w:ilvl w:val="3"/>
          <w:numId w:val="5"/>
        </w:numPr>
        <w:tabs>
          <w:tab w:pos="1159" w:val="left" w:leader="none"/>
        </w:tabs>
        <w:spacing w:line="240" w:lineRule="auto" w:before="1" w:after="0"/>
        <w:ind w:left="1158" w:right="0" w:hanging="841"/>
        <w:jc w:val="both"/>
        <w:rPr>
          <w:sz w:val="22"/>
        </w:rPr>
      </w:pPr>
      <w:r>
        <w:rPr>
          <w:sz w:val="22"/>
        </w:rPr>
        <w:t>The ETM-A should be approved by the</w:t>
      </w:r>
      <w:r>
        <w:rPr>
          <w:spacing w:val="-8"/>
          <w:sz w:val="22"/>
        </w:rPr>
        <w:t> </w:t>
      </w:r>
      <w:r>
        <w:rPr>
          <w:sz w:val="22"/>
        </w:rPr>
        <w:t>Administration.</w:t>
      </w:r>
    </w:p>
    <w:p>
      <w:pPr>
        <w:pStyle w:val="BodyText"/>
        <w:spacing w:before="9"/>
        <w:rPr>
          <w:sz w:val="21"/>
        </w:rPr>
      </w:pPr>
    </w:p>
    <w:p>
      <w:pPr>
        <w:pStyle w:val="ListParagraph"/>
        <w:numPr>
          <w:ilvl w:val="3"/>
          <w:numId w:val="5"/>
        </w:numPr>
        <w:tabs>
          <w:tab w:pos="1159" w:val="left" w:leader="none"/>
        </w:tabs>
        <w:spacing w:line="242" w:lineRule="auto" w:before="0" w:after="0"/>
        <w:ind w:left="318" w:right="413" w:firstLine="0"/>
        <w:jc w:val="both"/>
        <w:rPr>
          <w:sz w:val="22"/>
        </w:rPr>
      </w:pPr>
      <w:r>
        <w:rPr>
          <w:sz w:val="22"/>
        </w:rPr>
        <w:t>The ETM-A should be retained on board the ship onto which the EGC unit is fitted and should be available for surveys as</w:t>
      </w:r>
      <w:r>
        <w:rPr>
          <w:spacing w:val="-2"/>
          <w:sz w:val="22"/>
        </w:rPr>
        <w:t> </w:t>
      </w:r>
      <w:r>
        <w:rPr>
          <w:sz w:val="22"/>
        </w:rPr>
        <w:t>required.</w:t>
      </w:r>
    </w:p>
    <w:p>
      <w:pPr>
        <w:pStyle w:val="BodyText"/>
        <w:spacing w:before="9"/>
        <w:rPr>
          <w:sz w:val="21"/>
        </w:rPr>
      </w:pPr>
    </w:p>
    <w:p>
      <w:pPr>
        <w:pStyle w:val="ListParagraph"/>
        <w:numPr>
          <w:ilvl w:val="3"/>
          <w:numId w:val="5"/>
        </w:numPr>
        <w:tabs>
          <w:tab w:pos="1159" w:val="left" w:leader="none"/>
        </w:tabs>
        <w:spacing w:line="240" w:lineRule="auto" w:before="0" w:after="0"/>
        <w:ind w:left="318" w:right="411" w:firstLine="0"/>
        <w:jc w:val="both"/>
        <w:rPr>
          <w:sz w:val="22"/>
        </w:rPr>
      </w:pPr>
      <w:r>
        <w:rPr>
          <w:sz w:val="22"/>
        </w:rPr>
        <w:t>Amendments to the ETM-A which reflect EGC unit changes that affect performance with respect to emissions to air and/or water should be approved by the Administration. Where additions, deletions or amendments to the ETM-A are separate to the ETM-A as initially approved, they should be retained with the ETM-A and should be considered as part of</w:t>
      </w:r>
      <w:r>
        <w:rPr>
          <w:spacing w:val="3"/>
          <w:sz w:val="22"/>
        </w:rPr>
        <w:t> </w:t>
      </w:r>
      <w:r>
        <w:rPr>
          <w:sz w:val="22"/>
        </w:rPr>
        <w:t>it.</w:t>
      </w:r>
    </w:p>
    <w:p>
      <w:pPr>
        <w:pStyle w:val="BodyText"/>
        <w:spacing w:before="10"/>
        <w:rPr>
          <w:sz w:val="21"/>
        </w:rPr>
      </w:pPr>
    </w:p>
    <w:p>
      <w:pPr>
        <w:pStyle w:val="Heading2"/>
        <w:numPr>
          <w:ilvl w:val="2"/>
          <w:numId w:val="5"/>
        </w:numPr>
        <w:tabs>
          <w:tab w:pos="1171" w:val="left" w:leader="none"/>
        </w:tabs>
        <w:spacing w:line="240" w:lineRule="auto" w:before="0" w:after="0"/>
        <w:ind w:left="1170" w:right="0" w:hanging="853"/>
        <w:jc w:val="both"/>
        <w:rPr>
          <w:i/>
        </w:rPr>
      </w:pPr>
      <w:r>
        <w:rPr>
          <w:i/>
        </w:rPr>
        <w:t>In-service</w:t>
      </w:r>
      <w:r>
        <w:rPr>
          <w:i/>
          <w:spacing w:val="-1"/>
        </w:rPr>
        <w:t> </w:t>
      </w:r>
      <w:r>
        <w:rPr>
          <w:i/>
        </w:rPr>
        <w:t>surveys</w:t>
      </w:r>
    </w:p>
    <w:p>
      <w:pPr>
        <w:pStyle w:val="BodyText"/>
        <w:spacing w:before="1"/>
        <w:rPr>
          <w:b/>
          <w:i/>
        </w:rPr>
      </w:pPr>
    </w:p>
    <w:p>
      <w:pPr>
        <w:pStyle w:val="ListParagraph"/>
        <w:numPr>
          <w:ilvl w:val="3"/>
          <w:numId w:val="5"/>
        </w:numPr>
        <w:tabs>
          <w:tab w:pos="1159" w:val="left" w:leader="none"/>
        </w:tabs>
        <w:spacing w:line="240" w:lineRule="auto" w:before="0" w:after="0"/>
        <w:ind w:left="318" w:right="415" w:firstLine="0"/>
        <w:jc w:val="both"/>
        <w:rPr>
          <w:sz w:val="22"/>
        </w:rPr>
      </w:pPr>
      <w:r>
        <w:rPr>
          <w:sz w:val="22"/>
        </w:rPr>
        <w:t>The EGC unit should be subject to survey on installation and at initial, annual/intermediate and renewals surveys by the</w:t>
      </w:r>
      <w:r>
        <w:rPr>
          <w:spacing w:val="-5"/>
          <w:sz w:val="22"/>
        </w:rPr>
        <w:t> </w:t>
      </w:r>
      <w:r>
        <w:rPr>
          <w:sz w:val="22"/>
        </w:rPr>
        <w:t>Administration.</w:t>
      </w:r>
    </w:p>
    <w:p>
      <w:pPr>
        <w:pStyle w:val="BodyText"/>
        <w:spacing w:before="11"/>
        <w:rPr>
          <w:sz w:val="21"/>
        </w:rPr>
      </w:pPr>
    </w:p>
    <w:p>
      <w:pPr>
        <w:pStyle w:val="ListParagraph"/>
        <w:numPr>
          <w:ilvl w:val="3"/>
          <w:numId w:val="5"/>
        </w:numPr>
        <w:tabs>
          <w:tab w:pos="1159" w:val="left" w:leader="none"/>
        </w:tabs>
        <w:spacing w:line="240" w:lineRule="auto" w:before="0" w:after="0"/>
        <w:ind w:left="318" w:right="413" w:firstLine="0"/>
        <w:jc w:val="both"/>
        <w:rPr>
          <w:sz w:val="22"/>
        </w:rPr>
      </w:pPr>
      <w:r>
        <w:rPr>
          <w:sz w:val="22"/>
        </w:rPr>
        <w:t>In accordance with regulation 10 of MARPOL Annex VI, EGC units may also be subject to inspection by port State</w:t>
      </w:r>
      <w:r>
        <w:rPr>
          <w:spacing w:val="-7"/>
          <w:sz w:val="22"/>
        </w:rPr>
        <w:t> </w:t>
      </w:r>
      <w:r>
        <w:rPr>
          <w:sz w:val="22"/>
        </w:rPr>
        <w:t>control.</w:t>
      </w:r>
    </w:p>
    <w:p>
      <w:pPr>
        <w:pStyle w:val="BodyText"/>
      </w:pPr>
    </w:p>
    <w:p>
      <w:pPr>
        <w:pStyle w:val="ListParagraph"/>
        <w:numPr>
          <w:ilvl w:val="3"/>
          <w:numId w:val="5"/>
        </w:numPr>
        <w:tabs>
          <w:tab w:pos="1159" w:val="left" w:leader="none"/>
        </w:tabs>
        <w:spacing w:line="240" w:lineRule="auto" w:before="0" w:after="0"/>
        <w:ind w:left="1158" w:right="0" w:hanging="841"/>
        <w:jc w:val="both"/>
        <w:rPr>
          <w:sz w:val="22"/>
        </w:rPr>
      </w:pPr>
      <w:r>
        <w:rPr>
          <w:sz w:val="22"/>
        </w:rPr>
        <w:t>Prior to use, each EGC unit should be issued with an SECC by the</w:t>
      </w:r>
      <w:r>
        <w:rPr>
          <w:spacing w:val="-15"/>
          <w:sz w:val="22"/>
        </w:rPr>
        <w:t> </w:t>
      </w:r>
      <w:r>
        <w:rPr>
          <w:sz w:val="22"/>
        </w:rPr>
        <w:t>Administration.</w:t>
      </w:r>
    </w:p>
    <w:p>
      <w:pPr>
        <w:pStyle w:val="BodyText"/>
      </w:pPr>
    </w:p>
    <w:p>
      <w:pPr>
        <w:pStyle w:val="ListParagraph"/>
        <w:numPr>
          <w:ilvl w:val="3"/>
          <w:numId w:val="5"/>
        </w:numPr>
        <w:tabs>
          <w:tab w:pos="1159" w:val="left" w:leader="none"/>
        </w:tabs>
        <w:spacing w:line="240" w:lineRule="auto" w:before="0" w:after="0"/>
        <w:ind w:left="318" w:right="413" w:firstLine="0"/>
        <w:jc w:val="both"/>
        <w:rPr>
          <w:sz w:val="22"/>
        </w:rPr>
      </w:pPr>
      <w:r>
        <w:rPr>
          <w:sz w:val="22"/>
        </w:rPr>
        <w:t>Following the installation survey as required by paragraph 4.2.3.1, section 2.6 of the Supplement to the ship's International Air Pollution Certificate should be duly</w:t>
      </w:r>
      <w:r>
        <w:rPr>
          <w:spacing w:val="-16"/>
          <w:sz w:val="22"/>
        </w:rPr>
        <w:t> </w:t>
      </w:r>
      <w:r>
        <w:rPr>
          <w:sz w:val="22"/>
        </w:rPr>
        <w:t>completed.</w:t>
      </w:r>
    </w:p>
    <w:p>
      <w:pPr>
        <w:pStyle w:val="BodyText"/>
        <w:spacing w:before="9"/>
        <w:rPr>
          <w:sz w:val="21"/>
        </w:rPr>
      </w:pPr>
    </w:p>
    <w:p>
      <w:pPr>
        <w:pStyle w:val="Heading1"/>
        <w:numPr>
          <w:ilvl w:val="1"/>
          <w:numId w:val="5"/>
        </w:numPr>
        <w:tabs>
          <w:tab w:pos="1171" w:val="left" w:leader="none"/>
        </w:tabs>
        <w:spacing w:line="240" w:lineRule="auto" w:before="0" w:after="0"/>
        <w:ind w:left="1170" w:right="0" w:hanging="853"/>
        <w:jc w:val="both"/>
      </w:pPr>
      <w:r>
        <w:rPr/>
        <w:t>Emission</w:t>
      </w:r>
      <w:r>
        <w:rPr>
          <w:spacing w:val="-3"/>
        </w:rPr>
        <w:t> </w:t>
      </w:r>
      <w:r>
        <w:rPr/>
        <w:t>limits</w:t>
      </w:r>
    </w:p>
    <w:p>
      <w:pPr>
        <w:pStyle w:val="BodyText"/>
        <w:spacing w:before="2"/>
        <w:rPr>
          <w:b/>
        </w:rPr>
      </w:pPr>
    </w:p>
    <w:p>
      <w:pPr>
        <w:pStyle w:val="ListParagraph"/>
        <w:numPr>
          <w:ilvl w:val="2"/>
          <w:numId w:val="5"/>
        </w:numPr>
        <w:tabs>
          <w:tab w:pos="1171" w:val="left" w:leader="none"/>
        </w:tabs>
        <w:spacing w:line="240" w:lineRule="auto" w:before="1" w:after="0"/>
        <w:ind w:left="318" w:right="413" w:firstLine="0"/>
        <w:jc w:val="both"/>
        <w:rPr>
          <w:sz w:val="22"/>
        </w:rPr>
      </w:pPr>
      <w:r>
        <w:rPr>
          <w:sz w:val="22"/>
        </w:rPr>
        <w:t>Each EGC unit should be capable of reducing emissions to equal to or less than the Certified Value at any load point when operated in accordance with the criteria as given in paragraph 4.2.2.1.2, as specified in paragraphs 4.3.2 to 4.3.5 of these guidelines, and as excepted in paragraph</w:t>
      </w:r>
      <w:r>
        <w:rPr>
          <w:spacing w:val="-1"/>
          <w:sz w:val="22"/>
        </w:rPr>
        <w:t> </w:t>
      </w:r>
      <w:r>
        <w:rPr>
          <w:sz w:val="22"/>
        </w:rPr>
        <w:t>4.3.7.</w:t>
      </w:r>
    </w:p>
    <w:p>
      <w:pPr>
        <w:pStyle w:val="BodyText"/>
        <w:spacing w:before="11"/>
        <w:rPr>
          <w:sz w:val="21"/>
        </w:rPr>
      </w:pPr>
    </w:p>
    <w:p>
      <w:pPr>
        <w:pStyle w:val="ListParagraph"/>
        <w:numPr>
          <w:ilvl w:val="2"/>
          <w:numId w:val="5"/>
        </w:numPr>
        <w:tabs>
          <w:tab w:pos="1171" w:val="left" w:leader="none"/>
        </w:tabs>
        <w:spacing w:line="240" w:lineRule="auto" w:before="0" w:after="0"/>
        <w:ind w:left="318" w:right="414" w:firstLine="0"/>
        <w:jc w:val="both"/>
        <w:rPr>
          <w:sz w:val="22"/>
        </w:rPr>
      </w:pPr>
      <w:r>
        <w:rPr>
          <w:sz w:val="22"/>
        </w:rPr>
        <w:t>EGC units fitted to main propulsion diesel engines should meet the requirements of paragraph 4.3.1 at all loads between 25 to 100% of the load range of the engines to which they are</w:t>
      </w:r>
      <w:r>
        <w:rPr>
          <w:spacing w:val="-3"/>
          <w:sz w:val="22"/>
        </w:rPr>
        <w:t> </w:t>
      </w:r>
      <w:r>
        <w:rPr>
          <w:sz w:val="22"/>
        </w:rPr>
        <w:t>fitted.</w:t>
      </w:r>
    </w:p>
    <w:p>
      <w:pPr>
        <w:pStyle w:val="BodyText"/>
        <w:spacing w:before="1"/>
      </w:pPr>
    </w:p>
    <w:p>
      <w:pPr>
        <w:pStyle w:val="ListParagraph"/>
        <w:numPr>
          <w:ilvl w:val="2"/>
          <w:numId w:val="5"/>
        </w:numPr>
        <w:tabs>
          <w:tab w:pos="1171" w:val="left" w:leader="none"/>
        </w:tabs>
        <w:spacing w:line="240" w:lineRule="auto" w:before="0" w:after="0"/>
        <w:ind w:left="318" w:right="416" w:firstLine="0"/>
        <w:jc w:val="both"/>
        <w:rPr>
          <w:sz w:val="22"/>
        </w:rPr>
      </w:pPr>
      <w:r>
        <w:rPr>
          <w:sz w:val="22"/>
        </w:rPr>
        <w:t>EGC units fitted to auxiliary diesel engines should meet the requirements of paragraph 4.3.1 at all loads between 10 to 100% of the load range of the engines to which they are</w:t>
      </w:r>
      <w:r>
        <w:rPr>
          <w:spacing w:val="-4"/>
          <w:sz w:val="22"/>
        </w:rPr>
        <w:t> </w:t>
      </w:r>
      <w:r>
        <w:rPr>
          <w:sz w:val="22"/>
        </w:rPr>
        <w:t>fitted.</w:t>
      </w:r>
    </w:p>
    <w:p>
      <w:pPr>
        <w:pStyle w:val="BodyText"/>
        <w:spacing w:before="1"/>
      </w:pPr>
    </w:p>
    <w:p>
      <w:pPr>
        <w:pStyle w:val="ListParagraph"/>
        <w:numPr>
          <w:ilvl w:val="2"/>
          <w:numId w:val="5"/>
        </w:numPr>
        <w:tabs>
          <w:tab w:pos="1171" w:val="left" w:leader="none"/>
        </w:tabs>
        <w:spacing w:line="240" w:lineRule="auto" w:before="0" w:after="0"/>
        <w:ind w:left="318" w:right="415" w:firstLine="0"/>
        <w:jc w:val="both"/>
        <w:rPr>
          <w:sz w:val="22"/>
        </w:rPr>
      </w:pPr>
      <w:r>
        <w:rPr>
          <w:sz w:val="22"/>
        </w:rPr>
        <w:t>EGC units fitted to diesel engines which supply power for both main propulsion and auxiliary purposes should meet the requirements of paragraph</w:t>
      </w:r>
      <w:r>
        <w:rPr>
          <w:spacing w:val="-5"/>
          <w:sz w:val="22"/>
        </w:rPr>
        <w:t> </w:t>
      </w:r>
      <w:r>
        <w:rPr>
          <w:sz w:val="22"/>
        </w:rPr>
        <w:t>4.3.3.</w:t>
      </w:r>
    </w:p>
    <w:p>
      <w:pPr>
        <w:spacing w:after="0" w:line="240" w:lineRule="auto"/>
        <w:jc w:val="both"/>
        <w:rPr>
          <w:sz w:val="22"/>
        </w:rPr>
        <w:sectPr>
          <w:pgSz w:w="11910" w:h="16840"/>
          <w:pgMar w:header="856" w:footer="865" w:top="1540" w:bottom="1000" w:left="1100" w:right="1000"/>
        </w:sectPr>
      </w:pPr>
    </w:p>
    <w:p>
      <w:pPr>
        <w:pStyle w:val="ListParagraph"/>
        <w:numPr>
          <w:ilvl w:val="2"/>
          <w:numId w:val="5"/>
        </w:numPr>
        <w:tabs>
          <w:tab w:pos="1171" w:val="left" w:leader="none"/>
        </w:tabs>
        <w:spacing w:line="240" w:lineRule="auto" w:before="89" w:after="0"/>
        <w:ind w:left="318" w:right="411" w:firstLine="0"/>
        <w:jc w:val="both"/>
        <w:rPr>
          <w:sz w:val="22"/>
        </w:rPr>
      </w:pPr>
      <w:r>
        <w:rPr>
          <w:sz w:val="22"/>
        </w:rPr>
        <w:t>EGC units fitted to boilers should meet the requirements of paragraph 4.3.1 at all loads between 10 to 100% of the load range (steaming rates) or, if the turn down ratio is smaller, over the actual load range of the boilers to which they are</w:t>
      </w:r>
      <w:r>
        <w:rPr>
          <w:spacing w:val="-12"/>
          <w:sz w:val="22"/>
        </w:rPr>
        <w:t> </w:t>
      </w:r>
      <w:r>
        <w:rPr>
          <w:sz w:val="22"/>
        </w:rPr>
        <w:t>fitted.</w:t>
      </w:r>
    </w:p>
    <w:p>
      <w:pPr>
        <w:pStyle w:val="BodyText"/>
        <w:spacing w:before="1"/>
      </w:pPr>
    </w:p>
    <w:p>
      <w:pPr>
        <w:pStyle w:val="ListParagraph"/>
        <w:numPr>
          <w:ilvl w:val="2"/>
          <w:numId w:val="5"/>
        </w:numPr>
        <w:tabs>
          <w:tab w:pos="1171" w:val="left" w:leader="none"/>
        </w:tabs>
        <w:spacing w:line="240" w:lineRule="auto" w:before="0" w:after="0"/>
        <w:ind w:left="318" w:right="413" w:firstLine="0"/>
        <w:jc w:val="both"/>
        <w:rPr>
          <w:sz w:val="22"/>
        </w:rPr>
      </w:pPr>
      <w:r>
        <w:rPr>
          <w:sz w:val="22"/>
        </w:rPr>
        <w:t>In order to demonstrate performance, emission measurements should be undertaken, with the agreement of the Administration, at a minimum of four load points. One load point should be at 95 to 100% of the maximum exhaust gas mass flow rate for which the unit is to be certified. One load point should be within </w:t>
      </w:r>
      <w:r>
        <w:rPr>
          <w:rFonts w:ascii="Symbol" w:hAnsi="Symbol"/>
          <w:sz w:val="22"/>
        </w:rPr>
        <w:t></w:t>
      </w:r>
      <w:r>
        <w:rPr>
          <w:rFonts w:ascii="Times New Roman" w:hAnsi="Times New Roman"/>
          <w:sz w:val="22"/>
        </w:rPr>
        <w:t> </w:t>
      </w:r>
      <w:r>
        <w:rPr>
          <w:sz w:val="22"/>
        </w:rPr>
        <w:t>5% of the minimum exhaust gas mass flow rate for which the unit is to be certified. The other two load points should be equally spaced between the maximum and minimum exhaust gas mass flow rates. Where there are discontinuities in the operation of the system the number of load points should be increased, with the agreement of the Administration, so that it is demonstrated that the required performance over the stated exhaust gas mass flow rate range is retained. Additional intermediate load points should be tested if there is evidence of an emission peak below the maximum exhaust gas mass flow rate and above, if applicable, the minimum exhaust gas flow rate. These additional tests should be sufficient number as to establish the emission peak value.</w:t>
      </w:r>
    </w:p>
    <w:p>
      <w:pPr>
        <w:pStyle w:val="BodyText"/>
        <w:spacing w:before="3"/>
      </w:pPr>
    </w:p>
    <w:p>
      <w:pPr>
        <w:pStyle w:val="ListParagraph"/>
        <w:numPr>
          <w:ilvl w:val="2"/>
          <w:numId w:val="5"/>
        </w:numPr>
        <w:tabs>
          <w:tab w:pos="1171" w:val="left" w:leader="none"/>
        </w:tabs>
        <w:spacing w:line="237" w:lineRule="auto" w:before="0" w:after="0"/>
        <w:ind w:left="318" w:right="414" w:firstLine="0"/>
        <w:jc w:val="both"/>
        <w:rPr>
          <w:sz w:val="22"/>
        </w:rPr>
      </w:pPr>
      <w:r>
        <w:rPr>
          <w:sz w:val="22"/>
        </w:rPr>
        <w:t>For loads below those specified in paragraphs 4.3.2 to 4.3.5, the EGC unit should continue in operation. In those cases where the fuel oil combustion equipment may be</w:t>
      </w:r>
      <w:r>
        <w:rPr>
          <w:position w:val="2"/>
          <w:sz w:val="22"/>
        </w:rPr>
        <w:t> required to operate under idling conditions, the SO</w:t>
      </w:r>
      <w:r>
        <w:rPr>
          <w:sz w:val="14"/>
        </w:rPr>
        <w:t>2 </w:t>
      </w:r>
      <w:r>
        <w:rPr>
          <w:position w:val="2"/>
          <w:sz w:val="22"/>
        </w:rPr>
        <w:t>emission concentration (ppm) at standardized  O</w:t>
      </w:r>
      <w:r>
        <w:rPr>
          <w:sz w:val="14"/>
        </w:rPr>
        <w:t>2  </w:t>
      </w:r>
      <w:r>
        <w:rPr>
          <w:position w:val="2"/>
          <w:sz w:val="22"/>
        </w:rPr>
        <w:t>concentration  (15.0%  diesel  engines,  3.0%  boilers)  should   not  </w:t>
      </w:r>
      <w:r>
        <w:rPr>
          <w:sz w:val="22"/>
        </w:rPr>
        <w:t> exceed 50</w:t>
      </w:r>
      <w:r>
        <w:rPr>
          <w:spacing w:val="-1"/>
          <w:sz w:val="22"/>
        </w:rPr>
        <w:t> </w:t>
      </w:r>
      <w:r>
        <w:rPr>
          <w:sz w:val="22"/>
        </w:rPr>
        <w:t>ppm.</w:t>
      </w:r>
    </w:p>
    <w:p>
      <w:pPr>
        <w:pStyle w:val="BodyText"/>
        <w:spacing w:before="1"/>
      </w:pPr>
    </w:p>
    <w:p>
      <w:pPr>
        <w:pStyle w:val="Heading1"/>
        <w:numPr>
          <w:ilvl w:val="1"/>
          <w:numId w:val="5"/>
        </w:numPr>
        <w:tabs>
          <w:tab w:pos="1171" w:val="left" w:leader="none"/>
        </w:tabs>
        <w:spacing w:line="240" w:lineRule="auto" w:before="0" w:after="0"/>
        <w:ind w:left="1170" w:right="0" w:hanging="853"/>
        <w:jc w:val="both"/>
      </w:pPr>
      <w:r>
        <w:rPr/>
        <w:t>Onboard procedures for demonstrating</w:t>
      </w:r>
      <w:r>
        <w:rPr>
          <w:spacing w:val="-7"/>
        </w:rPr>
        <w:t> </w:t>
      </w:r>
      <w:r>
        <w:rPr/>
        <w:t>compliance</w:t>
      </w:r>
    </w:p>
    <w:p>
      <w:pPr>
        <w:pStyle w:val="BodyText"/>
        <w:spacing w:before="3"/>
        <w:rPr>
          <w:b/>
        </w:rPr>
      </w:pPr>
    </w:p>
    <w:p>
      <w:pPr>
        <w:pStyle w:val="ListParagraph"/>
        <w:numPr>
          <w:ilvl w:val="2"/>
          <w:numId w:val="5"/>
        </w:numPr>
        <w:tabs>
          <w:tab w:pos="1171" w:val="left" w:leader="none"/>
        </w:tabs>
        <w:spacing w:line="240" w:lineRule="auto" w:before="0" w:after="0"/>
        <w:ind w:left="318" w:right="406" w:firstLine="0"/>
        <w:jc w:val="both"/>
        <w:rPr>
          <w:sz w:val="22"/>
        </w:rPr>
      </w:pPr>
      <w:r>
        <w:rPr>
          <w:spacing w:val="-4"/>
          <w:sz w:val="22"/>
        </w:rPr>
        <w:t>For each EGC unit, the ETM-A should contain </w:t>
      </w:r>
      <w:r>
        <w:rPr>
          <w:sz w:val="22"/>
        </w:rPr>
        <w:t>a </w:t>
      </w:r>
      <w:r>
        <w:rPr>
          <w:spacing w:val="-5"/>
          <w:sz w:val="22"/>
        </w:rPr>
        <w:t>verification procedure </w:t>
      </w:r>
      <w:r>
        <w:rPr>
          <w:spacing w:val="-3"/>
          <w:sz w:val="22"/>
        </w:rPr>
        <w:t>for </w:t>
      </w:r>
      <w:r>
        <w:rPr>
          <w:spacing w:val="-4"/>
          <w:sz w:val="22"/>
        </w:rPr>
        <w:t>use </w:t>
      </w:r>
      <w:r>
        <w:rPr>
          <w:spacing w:val="-3"/>
          <w:sz w:val="22"/>
        </w:rPr>
        <w:t>at </w:t>
      </w:r>
      <w:r>
        <w:rPr>
          <w:spacing w:val="-5"/>
          <w:sz w:val="22"/>
        </w:rPr>
        <w:t>surveys </w:t>
      </w:r>
      <w:r>
        <w:rPr>
          <w:spacing w:val="-3"/>
          <w:sz w:val="22"/>
        </w:rPr>
        <w:t>as </w:t>
      </w:r>
      <w:r>
        <w:rPr>
          <w:spacing w:val="-5"/>
          <w:sz w:val="22"/>
        </w:rPr>
        <w:t>required. </w:t>
      </w:r>
      <w:r>
        <w:rPr>
          <w:spacing w:val="-3"/>
          <w:sz w:val="22"/>
        </w:rPr>
        <w:t>This </w:t>
      </w:r>
      <w:r>
        <w:rPr>
          <w:spacing w:val="-5"/>
          <w:sz w:val="22"/>
        </w:rPr>
        <w:t>procedure </w:t>
      </w:r>
      <w:r>
        <w:rPr>
          <w:spacing w:val="-4"/>
          <w:sz w:val="22"/>
        </w:rPr>
        <w:t>should </w:t>
      </w:r>
      <w:r>
        <w:rPr>
          <w:spacing w:val="-3"/>
          <w:sz w:val="22"/>
        </w:rPr>
        <w:t>not </w:t>
      </w:r>
      <w:r>
        <w:rPr>
          <w:spacing w:val="-4"/>
          <w:sz w:val="22"/>
        </w:rPr>
        <w:t>require </w:t>
      </w:r>
      <w:r>
        <w:rPr>
          <w:spacing w:val="-5"/>
          <w:sz w:val="22"/>
        </w:rPr>
        <w:t>specialized equipment </w:t>
      </w:r>
      <w:r>
        <w:rPr>
          <w:spacing w:val="-3"/>
          <w:sz w:val="22"/>
        </w:rPr>
        <w:t>or </w:t>
      </w:r>
      <w:r>
        <w:rPr>
          <w:sz w:val="22"/>
        </w:rPr>
        <w:t>an </w:t>
      </w:r>
      <w:r>
        <w:rPr>
          <w:spacing w:val="-4"/>
          <w:sz w:val="22"/>
        </w:rPr>
        <w:t>in-depth</w:t>
      </w:r>
      <w:r>
        <w:rPr>
          <w:spacing w:val="53"/>
          <w:sz w:val="22"/>
        </w:rPr>
        <w:t> </w:t>
      </w:r>
      <w:r>
        <w:rPr>
          <w:spacing w:val="-5"/>
          <w:sz w:val="22"/>
        </w:rPr>
        <w:t>knowledge </w:t>
      </w:r>
      <w:r>
        <w:rPr>
          <w:spacing w:val="-3"/>
          <w:sz w:val="22"/>
        </w:rPr>
        <w:t>of </w:t>
      </w:r>
      <w:r>
        <w:rPr>
          <w:spacing w:val="-4"/>
          <w:sz w:val="22"/>
        </w:rPr>
        <w:t>the system. </w:t>
      </w:r>
      <w:r>
        <w:rPr>
          <w:spacing w:val="-3"/>
          <w:sz w:val="22"/>
        </w:rPr>
        <w:t>Where </w:t>
      </w:r>
      <w:r>
        <w:rPr>
          <w:spacing w:val="-5"/>
          <w:sz w:val="22"/>
        </w:rPr>
        <w:t>particular </w:t>
      </w:r>
      <w:r>
        <w:rPr>
          <w:spacing w:val="-4"/>
          <w:sz w:val="22"/>
        </w:rPr>
        <w:t>devices are </w:t>
      </w:r>
      <w:r>
        <w:rPr>
          <w:spacing w:val="-5"/>
          <w:sz w:val="22"/>
        </w:rPr>
        <w:t>required </w:t>
      </w:r>
      <w:r>
        <w:rPr>
          <w:spacing w:val="-4"/>
          <w:sz w:val="22"/>
        </w:rPr>
        <w:t>they should </w:t>
      </w:r>
      <w:r>
        <w:rPr>
          <w:spacing w:val="-3"/>
          <w:sz w:val="22"/>
        </w:rPr>
        <w:t>be </w:t>
      </w:r>
      <w:r>
        <w:rPr>
          <w:spacing w:val="-5"/>
          <w:sz w:val="22"/>
        </w:rPr>
        <w:t>provided </w:t>
      </w:r>
      <w:r>
        <w:rPr>
          <w:spacing w:val="-4"/>
          <w:sz w:val="22"/>
        </w:rPr>
        <w:t>and </w:t>
      </w:r>
      <w:r>
        <w:rPr>
          <w:spacing w:val="-5"/>
          <w:sz w:val="22"/>
        </w:rPr>
        <w:t>maintained </w:t>
      </w:r>
      <w:r>
        <w:rPr>
          <w:spacing w:val="-3"/>
          <w:sz w:val="22"/>
        </w:rPr>
        <w:t>as </w:t>
      </w:r>
      <w:r>
        <w:rPr>
          <w:spacing w:val="-4"/>
          <w:sz w:val="22"/>
        </w:rPr>
        <w:t>part </w:t>
      </w:r>
      <w:r>
        <w:rPr>
          <w:spacing w:val="-3"/>
          <w:sz w:val="22"/>
        </w:rPr>
        <w:t>of </w:t>
      </w:r>
      <w:r>
        <w:rPr>
          <w:spacing w:val="-4"/>
          <w:sz w:val="22"/>
        </w:rPr>
        <w:t>the </w:t>
      </w:r>
      <w:r>
        <w:rPr>
          <w:spacing w:val="-5"/>
          <w:sz w:val="22"/>
        </w:rPr>
        <w:t>system. </w:t>
      </w:r>
      <w:r>
        <w:rPr>
          <w:spacing w:val="-3"/>
          <w:sz w:val="22"/>
        </w:rPr>
        <w:t>The </w:t>
      </w:r>
      <w:r>
        <w:rPr>
          <w:spacing w:val="-4"/>
          <w:sz w:val="22"/>
        </w:rPr>
        <w:t>EGC unit should </w:t>
      </w:r>
      <w:r>
        <w:rPr>
          <w:spacing w:val="-3"/>
          <w:sz w:val="22"/>
        </w:rPr>
        <w:t>be </w:t>
      </w:r>
      <w:r>
        <w:rPr>
          <w:spacing w:val="-5"/>
          <w:sz w:val="22"/>
        </w:rPr>
        <w:t>designed </w:t>
      </w:r>
      <w:r>
        <w:rPr>
          <w:spacing w:val="-3"/>
          <w:sz w:val="22"/>
        </w:rPr>
        <w:t>in </w:t>
      </w:r>
      <w:r>
        <w:rPr>
          <w:spacing w:val="-4"/>
          <w:sz w:val="22"/>
        </w:rPr>
        <w:t>such </w:t>
      </w:r>
      <w:r>
        <w:rPr>
          <w:sz w:val="22"/>
        </w:rPr>
        <w:t>a </w:t>
      </w:r>
      <w:r>
        <w:rPr>
          <w:spacing w:val="-4"/>
          <w:sz w:val="22"/>
        </w:rPr>
        <w:t>way </w:t>
      </w:r>
      <w:r>
        <w:rPr>
          <w:spacing w:val="-3"/>
          <w:sz w:val="22"/>
        </w:rPr>
        <w:t>as </w:t>
      </w:r>
      <w:r>
        <w:rPr>
          <w:sz w:val="22"/>
        </w:rPr>
        <w:t>to </w:t>
      </w:r>
      <w:r>
        <w:rPr>
          <w:spacing w:val="-5"/>
          <w:sz w:val="22"/>
        </w:rPr>
        <w:t>facilitate inspection </w:t>
      </w:r>
      <w:r>
        <w:rPr>
          <w:spacing w:val="-3"/>
          <w:sz w:val="22"/>
        </w:rPr>
        <w:t>as </w:t>
      </w:r>
      <w:r>
        <w:rPr>
          <w:spacing w:val="-5"/>
          <w:sz w:val="22"/>
        </w:rPr>
        <w:t>required. </w:t>
      </w:r>
      <w:r>
        <w:rPr>
          <w:spacing w:val="-3"/>
          <w:sz w:val="22"/>
        </w:rPr>
        <w:t>The </w:t>
      </w:r>
      <w:r>
        <w:rPr>
          <w:spacing w:val="-4"/>
          <w:sz w:val="22"/>
        </w:rPr>
        <w:t>basis </w:t>
      </w:r>
      <w:r>
        <w:rPr>
          <w:spacing w:val="-3"/>
          <w:sz w:val="22"/>
        </w:rPr>
        <w:t>of </w:t>
      </w:r>
      <w:r>
        <w:rPr>
          <w:spacing w:val="-4"/>
          <w:sz w:val="22"/>
        </w:rPr>
        <w:t>this </w:t>
      </w:r>
      <w:r>
        <w:rPr>
          <w:spacing w:val="-5"/>
          <w:sz w:val="22"/>
        </w:rPr>
        <w:t>verification procedure </w:t>
      </w:r>
      <w:r>
        <w:rPr>
          <w:spacing w:val="-3"/>
          <w:sz w:val="22"/>
        </w:rPr>
        <w:t>is </w:t>
      </w:r>
      <w:r>
        <w:rPr>
          <w:spacing w:val="-4"/>
          <w:sz w:val="22"/>
        </w:rPr>
        <w:t>that </w:t>
      </w:r>
      <w:r>
        <w:rPr>
          <w:spacing w:val="-3"/>
          <w:sz w:val="22"/>
        </w:rPr>
        <w:t>if all </w:t>
      </w:r>
      <w:r>
        <w:rPr>
          <w:spacing w:val="-4"/>
          <w:sz w:val="22"/>
        </w:rPr>
        <w:t>relevant </w:t>
      </w:r>
      <w:r>
        <w:rPr>
          <w:spacing w:val="-5"/>
          <w:sz w:val="22"/>
        </w:rPr>
        <w:t>components </w:t>
      </w:r>
      <w:r>
        <w:rPr>
          <w:spacing w:val="-4"/>
          <w:sz w:val="22"/>
        </w:rPr>
        <w:t>and </w:t>
      </w:r>
      <w:r>
        <w:rPr>
          <w:spacing w:val="-5"/>
          <w:sz w:val="22"/>
        </w:rPr>
        <w:t>operating values </w:t>
      </w:r>
      <w:r>
        <w:rPr>
          <w:spacing w:val="-3"/>
          <w:sz w:val="22"/>
        </w:rPr>
        <w:t>or </w:t>
      </w:r>
      <w:r>
        <w:rPr>
          <w:spacing w:val="-4"/>
          <w:sz w:val="22"/>
        </w:rPr>
        <w:t>settings are </w:t>
      </w:r>
      <w:r>
        <w:rPr>
          <w:spacing w:val="-5"/>
          <w:sz w:val="22"/>
        </w:rPr>
        <w:t>within </w:t>
      </w:r>
      <w:r>
        <w:rPr>
          <w:spacing w:val="-4"/>
          <w:sz w:val="22"/>
        </w:rPr>
        <w:t>those </w:t>
      </w:r>
      <w:r>
        <w:rPr>
          <w:sz w:val="22"/>
        </w:rPr>
        <w:t>as </w:t>
      </w:r>
      <w:r>
        <w:rPr>
          <w:spacing w:val="-5"/>
          <w:sz w:val="22"/>
        </w:rPr>
        <w:t>approved, </w:t>
      </w:r>
      <w:r>
        <w:rPr>
          <w:spacing w:val="-4"/>
          <w:sz w:val="22"/>
        </w:rPr>
        <w:t>then the </w:t>
      </w:r>
      <w:r>
        <w:rPr>
          <w:spacing w:val="-5"/>
          <w:sz w:val="22"/>
        </w:rPr>
        <w:t>performance </w:t>
      </w:r>
      <w:r>
        <w:rPr>
          <w:spacing w:val="-3"/>
          <w:sz w:val="22"/>
        </w:rPr>
        <w:t>of </w:t>
      </w:r>
      <w:r>
        <w:rPr>
          <w:spacing w:val="-4"/>
          <w:sz w:val="22"/>
        </w:rPr>
        <w:t>the EGC </w:t>
      </w:r>
      <w:r>
        <w:rPr>
          <w:spacing w:val="-5"/>
          <w:sz w:val="22"/>
        </w:rPr>
        <w:t>system </w:t>
      </w:r>
      <w:r>
        <w:rPr>
          <w:spacing w:val="-3"/>
          <w:sz w:val="22"/>
        </w:rPr>
        <w:t>is </w:t>
      </w:r>
      <w:r>
        <w:rPr>
          <w:spacing w:val="-5"/>
          <w:sz w:val="22"/>
        </w:rPr>
        <w:t>within </w:t>
      </w:r>
      <w:r>
        <w:rPr>
          <w:spacing w:val="-4"/>
          <w:sz w:val="22"/>
        </w:rPr>
        <w:t>that </w:t>
      </w:r>
      <w:r>
        <w:rPr>
          <w:spacing w:val="-5"/>
          <w:sz w:val="22"/>
        </w:rPr>
        <w:t>required without </w:t>
      </w:r>
      <w:r>
        <w:rPr>
          <w:spacing w:val="-4"/>
          <w:sz w:val="22"/>
        </w:rPr>
        <w:t>the need </w:t>
      </w:r>
      <w:r>
        <w:rPr>
          <w:spacing w:val="-3"/>
          <w:sz w:val="22"/>
        </w:rPr>
        <w:t>for </w:t>
      </w:r>
      <w:r>
        <w:rPr>
          <w:spacing w:val="-4"/>
          <w:sz w:val="22"/>
        </w:rPr>
        <w:t>actual </w:t>
      </w:r>
      <w:r>
        <w:rPr>
          <w:spacing w:val="-5"/>
          <w:sz w:val="22"/>
        </w:rPr>
        <w:t>exhaust emission measurements. </w:t>
      </w:r>
      <w:r>
        <w:rPr>
          <w:sz w:val="22"/>
        </w:rPr>
        <w:t>It </w:t>
      </w:r>
      <w:r>
        <w:rPr>
          <w:spacing w:val="-3"/>
          <w:sz w:val="22"/>
        </w:rPr>
        <w:t>is </w:t>
      </w:r>
      <w:r>
        <w:rPr>
          <w:spacing w:val="-4"/>
          <w:sz w:val="22"/>
        </w:rPr>
        <w:t>also </w:t>
      </w:r>
      <w:r>
        <w:rPr>
          <w:spacing w:val="-5"/>
          <w:sz w:val="22"/>
        </w:rPr>
        <w:t>necessary </w:t>
      </w:r>
      <w:r>
        <w:rPr>
          <w:sz w:val="22"/>
        </w:rPr>
        <w:t>to </w:t>
      </w:r>
      <w:r>
        <w:rPr>
          <w:spacing w:val="-5"/>
          <w:sz w:val="22"/>
        </w:rPr>
        <w:t>ensure </w:t>
      </w:r>
      <w:r>
        <w:rPr>
          <w:spacing w:val="-4"/>
          <w:sz w:val="22"/>
        </w:rPr>
        <w:t>that the EGC </w:t>
      </w:r>
      <w:r>
        <w:rPr>
          <w:spacing w:val="-5"/>
          <w:sz w:val="22"/>
        </w:rPr>
        <w:t>unit </w:t>
      </w:r>
      <w:r>
        <w:rPr>
          <w:spacing w:val="-3"/>
          <w:sz w:val="22"/>
        </w:rPr>
        <w:t>is </w:t>
      </w:r>
      <w:r>
        <w:rPr>
          <w:spacing w:val="-4"/>
          <w:sz w:val="22"/>
        </w:rPr>
        <w:t>fitted </w:t>
      </w:r>
      <w:r>
        <w:rPr>
          <w:sz w:val="22"/>
        </w:rPr>
        <w:t>to a </w:t>
      </w:r>
      <w:r>
        <w:rPr>
          <w:spacing w:val="-4"/>
          <w:sz w:val="22"/>
        </w:rPr>
        <w:t>fuel oil </w:t>
      </w:r>
      <w:r>
        <w:rPr>
          <w:spacing w:val="-5"/>
          <w:sz w:val="22"/>
        </w:rPr>
        <w:t>combustion unit </w:t>
      </w:r>
      <w:r>
        <w:rPr>
          <w:spacing w:val="-3"/>
          <w:sz w:val="22"/>
        </w:rPr>
        <w:t>for </w:t>
      </w:r>
      <w:r>
        <w:rPr>
          <w:spacing w:val="-5"/>
          <w:sz w:val="22"/>
        </w:rPr>
        <w:t>which </w:t>
      </w:r>
      <w:r>
        <w:rPr>
          <w:spacing w:val="-3"/>
          <w:sz w:val="22"/>
        </w:rPr>
        <w:t>it is </w:t>
      </w:r>
      <w:r>
        <w:rPr>
          <w:spacing w:val="-4"/>
          <w:sz w:val="22"/>
        </w:rPr>
        <w:t>rated </w:t>
      </w:r>
      <w:r>
        <w:rPr>
          <w:sz w:val="22"/>
        </w:rPr>
        <w:t>– </w:t>
      </w:r>
      <w:r>
        <w:rPr>
          <w:spacing w:val="-4"/>
          <w:sz w:val="22"/>
        </w:rPr>
        <w:t>this forms part </w:t>
      </w:r>
      <w:r>
        <w:rPr>
          <w:spacing w:val="-3"/>
          <w:sz w:val="22"/>
        </w:rPr>
        <w:t>of </w:t>
      </w:r>
      <w:r>
        <w:rPr>
          <w:spacing w:val="-5"/>
          <w:sz w:val="22"/>
        </w:rPr>
        <w:t>the </w:t>
      </w:r>
      <w:r>
        <w:rPr>
          <w:spacing w:val="-4"/>
          <w:sz w:val="22"/>
        </w:rPr>
        <w:t>SECP. </w:t>
      </w:r>
      <w:r>
        <w:rPr>
          <w:sz w:val="22"/>
        </w:rPr>
        <w:t>A </w:t>
      </w:r>
      <w:r>
        <w:rPr>
          <w:spacing w:val="-5"/>
          <w:sz w:val="22"/>
        </w:rPr>
        <w:t>Technical </w:t>
      </w:r>
      <w:r>
        <w:rPr>
          <w:spacing w:val="-4"/>
          <w:sz w:val="22"/>
        </w:rPr>
        <w:t>File </w:t>
      </w:r>
      <w:r>
        <w:rPr>
          <w:spacing w:val="-5"/>
          <w:sz w:val="22"/>
        </w:rPr>
        <w:t>related </w:t>
      </w:r>
      <w:r>
        <w:rPr>
          <w:sz w:val="22"/>
        </w:rPr>
        <w:t>to an </w:t>
      </w:r>
      <w:r>
        <w:rPr>
          <w:spacing w:val="-4"/>
          <w:sz w:val="22"/>
        </w:rPr>
        <w:t>EIAPP </w:t>
      </w:r>
      <w:r>
        <w:rPr>
          <w:spacing w:val="-5"/>
          <w:sz w:val="22"/>
        </w:rPr>
        <w:t>certificate, </w:t>
      </w:r>
      <w:r>
        <w:rPr>
          <w:spacing w:val="-3"/>
          <w:sz w:val="22"/>
        </w:rPr>
        <w:t>if </w:t>
      </w:r>
      <w:r>
        <w:rPr>
          <w:spacing w:val="-5"/>
          <w:sz w:val="22"/>
        </w:rPr>
        <w:t>available, </w:t>
      </w:r>
      <w:r>
        <w:rPr>
          <w:spacing w:val="-3"/>
          <w:sz w:val="22"/>
        </w:rPr>
        <w:t>or an </w:t>
      </w:r>
      <w:r>
        <w:rPr>
          <w:spacing w:val="-5"/>
          <w:sz w:val="22"/>
        </w:rPr>
        <w:t>Exhaust </w:t>
      </w:r>
      <w:r>
        <w:rPr>
          <w:spacing w:val="-4"/>
          <w:sz w:val="22"/>
        </w:rPr>
        <w:t>Gas </w:t>
      </w:r>
      <w:r>
        <w:rPr>
          <w:spacing w:val="-5"/>
          <w:sz w:val="22"/>
        </w:rPr>
        <w:t>Declaration issued </w:t>
      </w:r>
      <w:r>
        <w:rPr>
          <w:sz w:val="22"/>
        </w:rPr>
        <w:t>by </w:t>
      </w:r>
      <w:r>
        <w:rPr>
          <w:spacing w:val="-4"/>
          <w:sz w:val="22"/>
        </w:rPr>
        <w:t>the engine maker </w:t>
      </w:r>
      <w:r>
        <w:rPr>
          <w:spacing w:val="-3"/>
          <w:sz w:val="22"/>
        </w:rPr>
        <w:t>or </w:t>
      </w:r>
      <w:r>
        <w:rPr>
          <w:spacing w:val="-5"/>
          <w:sz w:val="22"/>
        </w:rPr>
        <w:t>designer </w:t>
      </w:r>
      <w:r>
        <w:rPr>
          <w:spacing w:val="-3"/>
          <w:sz w:val="22"/>
        </w:rPr>
        <w:t>or </w:t>
      </w:r>
      <w:r>
        <w:rPr>
          <w:spacing w:val="-5"/>
          <w:sz w:val="22"/>
        </w:rPr>
        <w:t>another competent </w:t>
      </w:r>
      <w:r>
        <w:rPr>
          <w:spacing w:val="-4"/>
          <w:sz w:val="22"/>
        </w:rPr>
        <w:t>party </w:t>
      </w:r>
      <w:r>
        <w:rPr>
          <w:spacing w:val="-3"/>
          <w:sz w:val="22"/>
        </w:rPr>
        <w:t>or </w:t>
      </w:r>
      <w:r>
        <w:rPr>
          <w:sz w:val="22"/>
        </w:rPr>
        <w:t>a </w:t>
      </w:r>
      <w:r>
        <w:rPr>
          <w:spacing w:val="-4"/>
          <w:sz w:val="22"/>
        </w:rPr>
        <w:t>Flue Gas </w:t>
      </w:r>
      <w:r>
        <w:rPr>
          <w:spacing w:val="-5"/>
          <w:sz w:val="22"/>
        </w:rPr>
        <w:t>Declaration issued </w:t>
      </w:r>
      <w:r>
        <w:rPr>
          <w:sz w:val="22"/>
        </w:rPr>
        <w:t>by </w:t>
      </w:r>
      <w:r>
        <w:rPr>
          <w:spacing w:val="-4"/>
          <w:sz w:val="22"/>
        </w:rPr>
        <w:t>the boiler maker </w:t>
      </w:r>
      <w:r>
        <w:rPr>
          <w:spacing w:val="-3"/>
          <w:sz w:val="22"/>
        </w:rPr>
        <w:t>or </w:t>
      </w:r>
      <w:r>
        <w:rPr>
          <w:spacing w:val="-5"/>
          <w:sz w:val="22"/>
        </w:rPr>
        <w:t>designer </w:t>
      </w:r>
      <w:r>
        <w:rPr>
          <w:spacing w:val="-3"/>
          <w:sz w:val="22"/>
        </w:rPr>
        <w:t>or </w:t>
      </w:r>
      <w:r>
        <w:rPr>
          <w:spacing w:val="-5"/>
          <w:sz w:val="22"/>
        </w:rPr>
        <w:t>another competent </w:t>
      </w:r>
      <w:r>
        <w:rPr>
          <w:spacing w:val="-4"/>
          <w:sz w:val="22"/>
        </w:rPr>
        <w:t>party </w:t>
      </w:r>
      <w:r>
        <w:rPr>
          <w:spacing w:val="-5"/>
          <w:sz w:val="22"/>
        </w:rPr>
        <w:t>serves </w:t>
      </w:r>
      <w:r>
        <w:rPr>
          <w:spacing w:val="-4"/>
          <w:sz w:val="22"/>
        </w:rPr>
        <w:t>this purpose </w:t>
      </w:r>
      <w:r>
        <w:rPr>
          <w:sz w:val="22"/>
        </w:rPr>
        <w:t>to </w:t>
      </w:r>
      <w:r>
        <w:rPr>
          <w:spacing w:val="-4"/>
          <w:sz w:val="22"/>
        </w:rPr>
        <w:t>the </w:t>
      </w:r>
      <w:r>
        <w:rPr>
          <w:spacing w:val="-5"/>
          <w:sz w:val="22"/>
        </w:rPr>
        <w:t>satisfaction </w:t>
      </w:r>
      <w:r>
        <w:rPr>
          <w:spacing w:val="-3"/>
          <w:sz w:val="22"/>
        </w:rPr>
        <w:t>of </w:t>
      </w:r>
      <w:r>
        <w:rPr>
          <w:spacing w:val="-4"/>
          <w:sz w:val="22"/>
        </w:rPr>
        <w:t>the</w:t>
      </w:r>
      <w:r>
        <w:rPr>
          <w:spacing w:val="-45"/>
          <w:sz w:val="22"/>
        </w:rPr>
        <w:t> </w:t>
      </w:r>
      <w:r>
        <w:rPr>
          <w:spacing w:val="-5"/>
          <w:sz w:val="22"/>
        </w:rPr>
        <w:t>Administration.</w:t>
      </w:r>
    </w:p>
    <w:p>
      <w:pPr>
        <w:pStyle w:val="BodyText"/>
      </w:pPr>
    </w:p>
    <w:p>
      <w:pPr>
        <w:pStyle w:val="ListParagraph"/>
        <w:numPr>
          <w:ilvl w:val="2"/>
          <w:numId w:val="5"/>
        </w:numPr>
        <w:tabs>
          <w:tab w:pos="1171" w:val="left" w:leader="none"/>
        </w:tabs>
        <w:spacing w:line="240" w:lineRule="auto" w:before="0" w:after="0"/>
        <w:ind w:left="318" w:right="418" w:firstLine="0"/>
        <w:jc w:val="both"/>
        <w:rPr>
          <w:sz w:val="22"/>
        </w:rPr>
      </w:pPr>
      <w:r>
        <w:rPr>
          <w:sz w:val="22"/>
        </w:rPr>
        <w:t>Included in the verification procedure should be all components and operating values or </w:t>
      </w:r>
      <w:r>
        <w:rPr>
          <w:spacing w:val="-3"/>
          <w:sz w:val="22"/>
        </w:rPr>
        <w:t>settings </w:t>
      </w:r>
      <w:r>
        <w:rPr>
          <w:spacing w:val="-4"/>
          <w:sz w:val="22"/>
        </w:rPr>
        <w:t>which </w:t>
      </w:r>
      <w:r>
        <w:rPr>
          <w:sz w:val="22"/>
        </w:rPr>
        <w:t>may affect the </w:t>
      </w:r>
      <w:r>
        <w:rPr>
          <w:spacing w:val="-3"/>
          <w:sz w:val="22"/>
        </w:rPr>
        <w:t>operation </w:t>
      </w:r>
      <w:r>
        <w:rPr>
          <w:sz w:val="22"/>
        </w:rPr>
        <w:t>of the </w:t>
      </w:r>
      <w:r>
        <w:rPr>
          <w:spacing w:val="-2"/>
          <w:sz w:val="22"/>
        </w:rPr>
        <w:t>EGC </w:t>
      </w:r>
      <w:r>
        <w:rPr>
          <w:spacing w:val="-3"/>
          <w:sz w:val="22"/>
        </w:rPr>
        <w:t>unit </w:t>
      </w:r>
      <w:r>
        <w:rPr>
          <w:sz w:val="22"/>
        </w:rPr>
        <w:t>and its </w:t>
      </w:r>
      <w:r>
        <w:rPr>
          <w:spacing w:val="-3"/>
          <w:sz w:val="22"/>
        </w:rPr>
        <w:t>ability </w:t>
      </w:r>
      <w:r>
        <w:rPr>
          <w:sz w:val="22"/>
        </w:rPr>
        <w:t>to meet the </w:t>
      </w:r>
      <w:r>
        <w:rPr>
          <w:spacing w:val="-3"/>
          <w:sz w:val="22"/>
        </w:rPr>
        <w:t>Certified</w:t>
      </w:r>
      <w:r>
        <w:rPr>
          <w:spacing w:val="-4"/>
          <w:sz w:val="22"/>
        </w:rPr>
        <w:t> </w:t>
      </w:r>
      <w:r>
        <w:rPr>
          <w:spacing w:val="-3"/>
          <w:sz w:val="22"/>
        </w:rPr>
        <w:t>Value.</w:t>
      </w:r>
    </w:p>
    <w:p>
      <w:pPr>
        <w:pStyle w:val="BodyText"/>
        <w:spacing w:before="1"/>
      </w:pPr>
    </w:p>
    <w:p>
      <w:pPr>
        <w:pStyle w:val="ListParagraph"/>
        <w:numPr>
          <w:ilvl w:val="2"/>
          <w:numId w:val="5"/>
        </w:numPr>
        <w:tabs>
          <w:tab w:pos="1171" w:val="left" w:leader="none"/>
        </w:tabs>
        <w:spacing w:line="240" w:lineRule="auto" w:before="0" w:after="0"/>
        <w:ind w:left="318" w:right="419" w:firstLine="0"/>
        <w:jc w:val="both"/>
        <w:rPr>
          <w:sz w:val="22"/>
        </w:rPr>
      </w:pPr>
      <w:r>
        <w:rPr>
          <w:sz w:val="22"/>
        </w:rPr>
        <w:t>The verification procedure should be submitted by the EGC system manufacturer and approved by the</w:t>
      </w:r>
      <w:r>
        <w:rPr>
          <w:spacing w:val="-5"/>
          <w:sz w:val="22"/>
        </w:rPr>
        <w:t> </w:t>
      </w:r>
      <w:r>
        <w:rPr>
          <w:sz w:val="22"/>
        </w:rPr>
        <w:t>Administration.</w:t>
      </w:r>
    </w:p>
    <w:p>
      <w:pPr>
        <w:pStyle w:val="BodyText"/>
      </w:pPr>
    </w:p>
    <w:p>
      <w:pPr>
        <w:pStyle w:val="ListParagraph"/>
        <w:numPr>
          <w:ilvl w:val="2"/>
          <w:numId w:val="5"/>
        </w:numPr>
        <w:tabs>
          <w:tab w:pos="1171" w:val="left" w:leader="none"/>
        </w:tabs>
        <w:spacing w:line="240" w:lineRule="auto" w:before="0" w:after="0"/>
        <w:ind w:left="318" w:right="417" w:firstLine="0"/>
        <w:jc w:val="both"/>
        <w:rPr>
          <w:sz w:val="22"/>
        </w:rPr>
      </w:pPr>
      <w:r>
        <w:rPr>
          <w:sz w:val="22"/>
        </w:rPr>
        <w:t>The verification procedure should cover both a documentation check and a physical check of the EGC</w:t>
      </w:r>
      <w:r>
        <w:rPr>
          <w:spacing w:val="1"/>
          <w:sz w:val="22"/>
        </w:rPr>
        <w:t> </w:t>
      </w:r>
      <w:r>
        <w:rPr>
          <w:sz w:val="22"/>
        </w:rPr>
        <w:t>unit.</w:t>
      </w:r>
    </w:p>
    <w:p>
      <w:pPr>
        <w:pStyle w:val="BodyText"/>
        <w:spacing w:before="11"/>
        <w:rPr>
          <w:sz w:val="21"/>
        </w:rPr>
      </w:pPr>
    </w:p>
    <w:p>
      <w:pPr>
        <w:pStyle w:val="ListParagraph"/>
        <w:numPr>
          <w:ilvl w:val="2"/>
          <w:numId w:val="5"/>
        </w:numPr>
        <w:tabs>
          <w:tab w:pos="1171" w:val="left" w:leader="none"/>
        </w:tabs>
        <w:spacing w:line="240" w:lineRule="auto" w:before="0" w:after="0"/>
        <w:ind w:left="318" w:right="417" w:firstLine="0"/>
        <w:jc w:val="both"/>
        <w:rPr>
          <w:sz w:val="22"/>
        </w:rPr>
      </w:pPr>
      <w:r>
        <w:rPr>
          <w:sz w:val="22"/>
        </w:rPr>
        <w:t>The surveyor should verify that each EGC unit is installed in accordance with the ETM-A and has an SECC as</w:t>
      </w:r>
      <w:r>
        <w:rPr>
          <w:spacing w:val="-5"/>
          <w:sz w:val="22"/>
        </w:rPr>
        <w:t> </w:t>
      </w:r>
      <w:r>
        <w:rPr>
          <w:sz w:val="22"/>
        </w:rPr>
        <w:t>required.</w:t>
      </w:r>
    </w:p>
    <w:p>
      <w:pPr>
        <w:spacing w:after="0" w:line="240" w:lineRule="auto"/>
        <w:jc w:val="both"/>
        <w:rPr>
          <w:sz w:val="22"/>
        </w:rPr>
        <w:sectPr>
          <w:pgSz w:w="11910" w:h="16840"/>
          <w:pgMar w:header="856" w:footer="805" w:top="1540" w:bottom="1060" w:left="1100" w:right="1000"/>
        </w:sectPr>
      </w:pPr>
    </w:p>
    <w:p>
      <w:pPr>
        <w:pStyle w:val="ListParagraph"/>
        <w:numPr>
          <w:ilvl w:val="2"/>
          <w:numId w:val="5"/>
        </w:numPr>
        <w:tabs>
          <w:tab w:pos="1171" w:val="left" w:leader="none"/>
        </w:tabs>
        <w:spacing w:line="240" w:lineRule="auto" w:before="89" w:after="0"/>
        <w:ind w:left="318" w:right="415" w:firstLine="0"/>
        <w:jc w:val="both"/>
        <w:rPr>
          <w:sz w:val="22"/>
        </w:rPr>
      </w:pPr>
      <w:r>
        <w:rPr>
          <w:sz w:val="22"/>
        </w:rPr>
        <w:t>At the discretion of the Administration, the surveyor should have the option of checking one or all of the identified components, operating values or settings. Where there is more than one EGC unit, the Administration may, at its discretion, abbreviate or reduce the extent of the survey on board, however, the entire survey should be completed for at least one of each type of EGC unit on board provided that it is expected that the other EGC units perform in the same</w:t>
      </w:r>
      <w:r>
        <w:rPr>
          <w:spacing w:val="-5"/>
          <w:sz w:val="22"/>
        </w:rPr>
        <w:t> </w:t>
      </w:r>
      <w:r>
        <w:rPr>
          <w:sz w:val="22"/>
        </w:rPr>
        <w:t>manner.</w:t>
      </w:r>
    </w:p>
    <w:p>
      <w:pPr>
        <w:pStyle w:val="BodyText"/>
      </w:pPr>
    </w:p>
    <w:p>
      <w:pPr>
        <w:pStyle w:val="ListParagraph"/>
        <w:numPr>
          <w:ilvl w:val="2"/>
          <w:numId w:val="5"/>
        </w:numPr>
        <w:tabs>
          <w:tab w:pos="1171" w:val="left" w:leader="none"/>
        </w:tabs>
        <w:spacing w:line="240" w:lineRule="auto" w:before="0" w:after="0"/>
        <w:ind w:left="318" w:right="412" w:firstLine="0"/>
        <w:jc w:val="both"/>
        <w:rPr>
          <w:sz w:val="22"/>
        </w:rPr>
      </w:pPr>
      <w:r>
        <w:rPr>
          <w:sz w:val="22"/>
        </w:rPr>
        <w:t>The EGC unit should include means to automatically record when the system is in use. This should automatically record, at least at the frequency specified in paragraph 5.4.2, as a minimum, washwater pressure and flow rate at the EGC unit's inlet connection, exhaust gas pressure before and pressure drop across the EGC unit, fuel oil combustion equipment load, and exhaust gas temperature before and after the EGC unit. The data recording system should comply with the requirements of sections 7 and 8. In case of a unit consuming chemicals at a known rate as documented in ETM-A, records of such consumption in the EGC Record Book also serves this</w:t>
      </w:r>
      <w:r>
        <w:rPr>
          <w:spacing w:val="-1"/>
          <w:sz w:val="22"/>
        </w:rPr>
        <w:t> </w:t>
      </w:r>
      <w:r>
        <w:rPr>
          <w:sz w:val="22"/>
        </w:rPr>
        <w:t>purpose.</w:t>
      </w:r>
    </w:p>
    <w:p>
      <w:pPr>
        <w:pStyle w:val="BodyText"/>
        <w:spacing w:before="2"/>
      </w:pPr>
    </w:p>
    <w:p>
      <w:pPr>
        <w:pStyle w:val="ListParagraph"/>
        <w:numPr>
          <w:ilvl w:val="2"/>
          <w:numId w:val="5"/>
        </w:numPr>
        <w:tabs>
          <w:tab w:pos="1171" w:val="left" w:leader="none"/>
        </w:tabs>
        <w:spacing w:line="240" w:lineRule="auto" w:before="0" w:after="0"/>
        <w:ind w:left="318" w:right="415" w:firstLine="0"/>
        <w:jc w:val="both"/>
        <w:rPr>
          <w:sz w:val="22"/>
        </w:rPr>
      </w:pPr>
      <w:r>
        <w:rPr>
          <w:sz w:val="22"/>
        </w:rPr>
        <w:t>Under Scheme A, if a continuous exhaust gas monitoring system is not fitted, it is recommended that a daily spot check of the exhaust gas quality in terms of</w:t>
      </w:r>
      <w:r>
        <w:rPr>
          <w:position w:val="2"/>
          <w:sz w:val="22"/>
        </w:rPr>
        <w:t> SO</w:t>
      </w:r>
      <w:r>
        <w:rPr>
          <w:sz w:val="14"/>
        </w:rPr>
        <w:t>2</w:t>
      </w:r>
      <w:r>
        <w:rPr>
          <w:position w:val="2"/>
          <w:sz w:val="22"/>
        </w:rPr>
        <w:t>(ppm)/CO</w:t>
      </w:r>
      <w:r>
        <w:rPr>
          <w:sz w:val="14"/>
        </w:rPr>
        <w:t>2</w:t>
      </w:r>
      <w:r>
        <w:rPr>
          <w:position w:val="2"/>
          <w:sz w:val="22"/>
        </w:rPr>
        <w:t>(%) ratio, is used to verify compliance in conjunction with parameter checks</w:t>
      </w:r>
      <w:r>
        <w:rPr>
          <w:sz w:val="22"/>
        </w:rPr>
        <w:t> stipulated in paragraph 4.4.7. If a continuous exhaust gas monitoring system is fitted, only daily spot checks of the parameters listed in paragraph 4.4.7 would be needed to verify proper operation of the EGC</w:t>
      </w:r>
      <w:r>
        <w:rPr>
          <w:spacing w:val="-3"/>
          <w:sz w:val="22"/>
        </w:rPr>
        <w:t> </w:t>
      </w:r>
      <w:r>
        <w:rPr>
          <w:sz w:val="22"/>
        </w:rPr>
        <w:t>unit.</w:t>
      </w:r>
    </w:p>
    <w:p>
      <w:pPr>
        <w:pStyle w:val="BodyText"/>
        <w:spacing w:before="8"/>
        <w:rPr>
          <w:sz w:val="21"/>
        </w:rPr>
      </w:pPr>
    </w:p>
    <w:p>
      <w:pPr>
        <w:pStyle w:val="ListParagraph"/>
        <w:numPr>
          <w:ilvl w:val="2"/>
          <w:numId w:val="5"/>
        </w:numPr>
        <w:tabs>
          <w:tab w:pos="1171" w:val="left" w:leader="none"/>
        </w:tabs>
        <w:spacing w:line="240" w:lineRule="auto" w:before="1" w:after="0"/>
        <w:ind w:left="318" w:right="411" w:firstLine="0"/>
        <w:jc w:val="both"/>
        <w:rPr>
          <w:sz w:val="22"/>
        </w:rPr>
      </w:pPr>
      <w:r>
        <w:rPr>
          <w:sz w:val="22"/>
        </w:rPr>
        <w:t>If the EGC system manufacturer is unable to provide assurance that the EGC unit will meet the Certified Value or below between surveys, by means of the verification procedure stipulated in paragraph 4.4.1, or if this requires specialist equipment or in-depth knowledge, it is recommended that continuous exhaust gas monitoring of each EGC unit be used, Scheme B, to assure compliance with regulations 14.1 and/or 14.4  of  MARPOL Annex</w:t>
      </w:r>
      <w:r>
        <w:rPr>
          <w:spacing w:val="-2"/>
          <w:sz w:val="22"/>
        </w:rPr>
        <w:t> </w:t>
      </w:r>
      <w:r>
        <w:rPr>
          <w:sz w:val="22"/>
        </w:rPr>
        <w:t>VI.</w:t>
      </w:r>
    </w:p>
    <w:p>
      <w:pPr>
        <w:pStyle w:val="BodyText"/>
      </w:pPr>
    </w:p>
    <w:p>
      <w:pPr>
        <w:pStyle w:val="ListParagraph"/>
        <w:numPr>
          <w:ilvl w:val="2"/>
          <w:numId w:val="5"/>
        </w:numPr>
        <w:tabs>
          <w:tab w:pos="1171" w:val="left" w:leader="none"/>
        </w:tabs>
        <w:spacing w:line="240" w:lineRule="auto" w:before="0" w:after="0"/>
        <w:ind w:left="318" w:right="414" w:firstLine="0"/>
        <w:jc w:val="both"/>
        <w:rPr>
          <w:sz w:val="22"/>
        </w:rPr>
      </w:pPr>
      <w:r>
        <w:rPr>
          <w:sz w:val="22"/>
        </w:rPr>
        <w:t>An EGC Record Book should be maintained by the shipowner recording maintenance and service of the unit including like-for-like replacement. The form of this record should be submitted by the EGC system manufacturer and approved by the Administration. This </w:t>
      </w:r>
      <w:r>
        <w:rPr>
          <w:spacing w:val="-2"/>
          <w:sz w:val="22"/>
        </w:rPr>
        <w:t>EGC </w:t>
      </w:r>
      <w:r>
        <w:rPr>
          <w:sz w:val="22"/>
        </w:rPr>
        <w:t>Record Book should be available at surveys as required and may be read in conjunction with engine-room log-books and other data as necessary to confirm the correction operation of the EGC unit. Alternatively, this information should be recorded in the vessel's planned maintenance record system as approved by the</w:t>
      </w:r>
      <w:r>
        <w:rPr>
          <w:spacing w:val="-13"/>
          <w:sz w:val="22"/>
        </w:rPr>
        <w:t> </w:t>
      </w:r>
      <w:r>
        <w:rPr>
          <w:sz w:val="22"/>
        </w:rPr>
        <w:t>Administration.</w:t>
      </w:r>
    </w:p>
    <w:p>
      <w:pPr>
        <w:pStyle w:val="BodyText"/>
        <w:spacing w:before="9"/>
        <w:rPr>
          <w:sz w:val="21"/>
        </w:rPr>
      </w:pPr>
    </w:p>
    <w:p>
      <w:pPr>
        <w:pStyle w:val="Heading1"/>
        <w:numPr>
          <w:ilvl w:val="0"/>
          <w:numId w:val="2"/>
        </w:numPr>
        <w:tabs>
          <w:tab w:pos="1170" w:val="left" w:leader="none"/>
          <w:tab w:pos="1171" w:val="left" w:leader="none"/>
        </w:tabs>
        <w:spacing w:line="240" w:lineRule="auto" w:before="0" w:after="0"/>
        <w:ind w:left="1170" w:right="413" w:hanging="852"/>
        <w:jc w:val="left"/>
      </w:pPr>
      <w:r>
        <w:rPr/>
        <w:t>SCHEME B – EGC SYSTEM APPROVAL, SURVEY AND CERTIFICATION USING</w:t>
      </w:r>
      <w:r>
        <w:rPr>
          <w:position w:val="2"/>
        </w:rPr>
        <w:t> CONTINUOUS MONITORING OF SO</w:t>
      </w:r>
      <w:r>
        <w:rPr>
          <w:sz w:val="14"/>
        </w:rPr>
        <w:t>X</w:t>
      </w:r>
      <w:r>
        <w:rPr>
          <w:spacing w:val="16"/>
          <w:sz w:val="14"/>
        </w:rPr>
        <w:t> </w:t>
      </w:r>
      <w:r>
        <w:rPr>
          <w:position w:val="2"/>
        </w:rPr>
        <w:t>EMISSIONS</w:t>
      </w:r>
    </w:p>
    <w:p>
      <w:pPr>
        <w:pStyle w:val="BodyText"/>
        <w:spacing w:before="7"/>
        <w:rPr>
          <w:b/>
          <w:sz w:val="21"/>
        </w:rPr>
      </w:pPr>
    </w:p>
    <w:p>
      <w:pPr>
        <w:pStyle w:val="ListParagraph"/>
        <w:numPr>
          <w:ilvl w:val="1"/>
          <w:numId w:val="2"/>
        </w:numPr>
        <w:tabs>
          <w:tab w:pos="1171" w:val="left" w:leader="none"/>
        </w:tabs>
        <w:spacing w:line="240" w:lineRule="auto" w:before="1" w:after="0"/>
        <w:ind w:left="1170" w:right="0" w:hanging="853"/>
        <w:jc w:val="both"/>
        <w:rPr>
          <w:b/>
          <w:sz w:val="22"/>
        </w:rPr>
      </w:pPr>
      <w:r>
        <w:rPr>
          <w:b/>
          <w:sz w:val="22"/>
        </w:rPr>
        <w:t>General</w:t>
      </w:r>
    </w:p>
    <w:p>
      <w:pPr>
        <w:pStyle w:val="BodyText"/>
        <w:spacing w:before="2"/>
        <w:rPr>
          <w:b/>
        </w:rPr>
      </w:pPr>
    </w:p>
    <w:p>
      <w:pPr>
        <w:pStyle w:val="BodyText"/>
        <w:ind w:left="318" w:right="417"/>
        <w:jc w:val="both"/>
      </w:pPr>
      <w:r>
        <w:rPr/>
        <w:t>This Scheme should be used to demonstrate that the emissions from a fuel oil combustion unit fitted with an EGC will, with that system in operation, result in the required emission value (e.g. as stated in the SECP) or below at any load point, including during transient operation and thus compliance with the requirements of regulations 14.1 and/or 14.4 of MARPOL Annex</w:t>
      </w:r>
      <w:r>
        <w:rPr>
          <w:spacing w:val="-3"/>
        </w:rPr>
        <w:t> </w:t>
      </w:r>
      <w:r>
        <w:rPr/>
        <w:t>VI.</w:t>
      </w:r>
    </w:p>
    <w:p>
      <w:pPr>
        <w:pStyle w:val="BodyText"/>
        <w:spacing w:before="9"/>
        <w:rPr>
          <w:sz w:val="21"/>
        </w:rPr>
      </w:pPr>
    </w:p>
    <w:p>
      <w:pPr>
        <w:pStyle w:val="Heading1"/>
        <w:numPr>
          <w:ilvl w:val="1"/>
          <w:numId w:val="2"/>
        </w:numPr>
        <w:tabs>
          <w:tab w:pos="1171" w:val="left" w:leader="none"/>
        </w:tabs>
        <w:spacing w:line="240" w:lineRule="auto" w:before="0" w:after="0"/>
        <w:ind w:left="1170" w:right="0" w:hanging="853"/>
        <w:jc w:val="both"/>
      </w:pPr>
      <w:r>
        <w:rPr/>
        <w:t>Approval</w:t>
      </w:r>
    </w:p>
    <w:p>
      <w:pPr>
        <w:pStyle w:val="BodyText"/>
        <w:spacing w:before="3"/>
        <w:rPr>
          <w:b/>
        </w:rPr>
      </w:pPr>
    </w:p>
    <w:p>
      <w:pPr>
        <w:pStyle w:val="BodyText"/>
        <w:ind w:left="318" w:right="419"/>
        <w:jc w:val="both"/>
      </w:pPr>
      <w:r>
        <w:rPr/>
        <w:t>Compliance demonstrated in service by continuous exhaust gas monitoring. Monitoring system should be approved by the Administration and the results of that monitoring available to the Administration as necessary to demonstrate compliance as required.</w:t>
      </w:r>
    </w:p>
    <w:p>
      <w:pPr>
        <w:spacing w:after="0"/>
        <w:jc w:val="both"/>
        <w:sectPr>
          <w:pgSz w:w="11910" w:h="16840"/>
          <w:pgMar w:header="856" w:footer="865" w:top="1540" w:bottom="1000" w:left="1100" w:right="1000"/>
        </w:sectPr>
      </w:pPr>
    </w:p>
    <w:p>
      <w:pPr>
        <w:pStyle w:val="Heading1"/>
        <w:numPr>
          <w:ilvl w:val="1"/>
          <w:numId w:val="2"/>
        </w:numPr>
        <w:tabs>
          <w:tab w:pos="1171" w:val="left" w:leader="none"/>
        </w:tabs>
        <w:spacing w:line="240" w:lineRule="auto" w:before="86" w:after="0"/>
        <w:ind w:left="1170" w:right="0" w:hanging="853"/>
        <w:jc w:val="both"/>
      </w:pPr>
      <w:r>
        <w:rPr/>
        <w:t>Survey and</w:t>
      </w:r>
      <w:r>
        <w:rPr>
          <w:spacing w:val="-5"/>
        </w:rPr>
        <w:t> </w:t>
      </w:r>
      <w:r>
        <w:rPr/>
        <w:t>certification</w:t>
      </w:r>
    </w:p>
    <w:p>
      <w:pPr>
        <w:pStyle w:val="BodyText"/>
        <w:spacing w:before="3"/>
        <w:rPr>
          <w:b/>
        </w:rPr>
      </w:pPr>
    </w:p>
    <w:p>
      <w:pPr>
        <w:pStyle w:val="ListParagraph"/>
        <w:numPr>
          <w:ilvl w:val="2"/>
          <w:numId w:val="2"/>
        </w:numPr>
        <w:tabs>
          <w:tab w:pos="1171" w:val="left" w:leader="none"/>
        </w:tabs>
        <w:spacing w:line="240" w:lineRule="auto" w:before="0" w:after="0"/>
        <w:ind w:left="318" w:right="422" w:firstLine="0"/>
        <w:jc w:val="both"/>
        <w:rPr>
          <w:sz w:val="22"/>
        </w:rPr>
      </w:pPr>
      <w:r>
        <w:rPr>
          <w:sz w:val="22"/>
        </w:rPr>
        <w:t>The monitoring system of the EGC system should be subject to survey on installation and at initial, annual/intermediate and renewals surveys by the</w:t>
      </w:r>
      <w:r>
        <w:rPr>
          <w:spacing w:val="-14"/>
          <w:sz w:val="22"/>
        </w:rPr>
        <w:t> </w:t>
      </w:r>
      <w:r>
        <w:rPr>
          <w:sz w:val="22"/>
        </w:rPr>
        <w:t>Administration.</w:t>
      </w:r>
    </w:p>
    <w:p>
      <w:pPr>
        <w:pStyle w:val="BodyText"/>
      </w:pPr>
    </w:p>
    <w:p>
      <w:pPr>
        <w:pStyle w:val="ListParagraph"/>
        <w:numPr>
          <w:ilvl w:val="2"/>
          <w:numId w:val="2"/>
        </w:numPr>
        <w:tabs>
          <w:tab w:pos="1171" w:val="left" w:leader="none"/>
        </w:tabs>
        <w:spacing w:line="240" w:lineRule="auto" w:before="0" w:after="0"/>
        <w:ind w:left="318" w:right="413" w:firstLine="0"/>
        <w:jc w:val="both"/>
        <w:rPr>
          <w:sz w:val="22"/>
        </w:rPr>
      </w:pPr>
      <w:r>
        <w:rPr>
          <w:sz w:val="22"/>
        </w:rPr>
        <w:t>In accordance with regulation 10 of MARPOL Annex VI, monitoring systems of EGC units may also be subject to inspection by port State</w:t>
      </w:r>
      <w:r>
        <w:rPr>
          <w:spacing w:val="-7"/>
          <w:sz w:val="22"/>
        </w:rPr>
        <w:t> </w:t>
      </w:r>
      <w:r>
        <w:rPr>
          <w:sz w:val="22"/>
        </w:rPr>
        <w:t>control.</w:t>
      </w:r>
    </w:p>
    <w:p>
      <w:pPr>
        <w:pStyle w:val="BodyText"/>
        <w:spacing w:before="2"/>
      </w:pPr>
    </w:p>
    <w:p>
      <w:pPr>
        <w:pStyle w:val="ListParagraph"/>
        <w:numPr>
          <w:ilvl w:val="2"/>
          <w:numId w:val="2"/>
        </w:numPr>
        <w:tabs>
          <w:tab w:pos="1171" w:val="left" w:leader="none"/>
        </w:tabs>
        <w:spacing w:line="240" w:lineRule="auto" w:before="0" w:after="0"/>
        <w:ind w:left="318" w:right="419" w:firstLine="0"/>
        <w:jc w:val="both"/>
        <w:rPr>
          <w:sz w:val="22"/>
        </w:rPr>
      </w:pPr>
      <w:r>
        <w:rPr>
          <w:sz w:val="22"/>
        </w:rPr>
        <w:t>In those instances where an EGC system is installed, section 2.6 of the Supplement to the ship's International Air Pollution Prevention Certificate should be duly</w:t>
      </w:r>
      <w:r>
        <w:rPr>
          <w:spacing w:val="-19"/>
          <w:sz w:val="22"/>
        </w:rPr>
        <w:t> </w:t>
      </w:r>
      <w:r>
        <w:rPr>
          <w:sz w:val="22"/>
        </w:rPr>
        <w:t>completed.</w:t>
      </w:r>
    </w:p>
    <w:p>
      <w:pPr>
        <w:pStyle w:val="BodyText"/>
        <w:spacing w:before="8"/>
        <w:rPr>
          <w:sz w:val="21"/>
        </w:rPr>
      </w:pPr>
    </w:p>
    <w:p>
      <w:pPr>
        <w:pStyle w:val="Heading1"/>
        <w:numPr>
          <w:ilvl w:val="1"/>
          <w:numId w:val="2"/>
        </w:numPr>
        <w:tabs>
          <w:tab w:pos="1171" w:val="left" w:leader="none"/>
        </w:tabs>
        <w:spacing w:line="240" w:lineRule="auto" w:before="0" w:after="0"/>
        <w:ind w:left="1170" w:right="0" w:hanging="853"/>
        <w:jc w:val="both"/>
      </w:pPr>
      <w:r>
        <w:rPr/>
        <w:t>Calculation of emission rate</w:t>
      </w:r>
    </w:p>
    <w:p>
      <w:pPr>
        <w:pStyle w:val="BodyText"/>
        <w:spacing w:before="4"/>
        <w:rPr>
          <w:b/>
        </w:rPr>
      </w:pPr>
    </w:p>
    <w:p>
      <w:pPr>
        <w:pStyle w:val="ListParagraph"/>
        <w:numPr>
          <w:ilvl w:val="2"/>
          <w:numId w:val="2"/>
        </w:numPr>
        <w:tabs>
          <w:tab w:pos="1171" w:val="left" w:leader="none"/>
        </w:tabs>
        <w:spacing w:line="237" w:lineRule="auto" w:before="1" w:after="0"/>
        <w:ind w:left="318" w:right="413" w:firstLine="0"/>
        <w:jc w:val="both"/>
        <w:rPr>
          <w:sz w:val="22"/>
        </w:rPr>
      </w:pPr>
      <w:r>
        <w:rPr>
          <w:position w:val="2"/>
          <w:sz w:val="22"/>
        </w:rPr>
        <w:t>Exhaust gas composition in terms of SO</w:t>
      </w:r>
      <w:r>
        <w:rPr>
          <w:sz w:val="14"/>
        </w:rPr>
        <w:t>2</w:t>
      </w:r>
      <w:r>
        <w:rPr>
          <w:position w:val="2"/>
          <w:sz w:val="22"/>
        </w:rPr>
        <w:t>(ppm)/CO</w:t>
      </w:r>
      <w:r>
        <w:rPr>
          <w:sz w:val="14"/>
        </w:rPr>
        <w:t>2</w:t>
      </w:r>
      <w:r>
        <w:rPr>
          <w:position w:val="2"/>
          <w:sz w:val="22"/>
        </w:rPr>
        <w:t>(%) should be measured at an</w:t>
      </w:r>
      <w:r>
        <w:rPr>
          <w:sz w:val="22"/>
        </w:rPr>
        <w:t> appropriate position after the EGC unit and that measurement should be in accordance with the requirements of section 6 as</w:t>
      </w:r>
      <w:r>
        <w:rPr>
          <w:spacing w:val="-5"/>
          <w:sz w:val="22"/>
        </w:rPr>
        <w:t> </w:t>
      </w:r>
      <w:r>
        <w:rPr>
          <w:sz w:val="22"/>
        </w:rPr>
        <w:t>applicable.</w:t>
      </w:r>
    </w:p>
    <w:p>
      <w:pPr>
        <w:pStyle w:val="BodyText"/>
        <w:spacing w:before="1"/>
      </w:pPr>
    </w:p>
    <w:p>
      <w:pPr>
        <w:pStyle w:val="ListParagraph"/>
        <w:numPr>
          <w:ilvl w:val="2"/>
          <w:numId w:val="2"/>
        </w:numPr>
        <w:tabs>
          <w:tab w:pos="1171" w:val="left" w:leader="none"/>
        </w:tabs>
        <w:spacing w:line="240" w:lineRule="auto" w:before="0" w:after="0"/>
        <w:ind w:left="318" w:right="415" w:firstLine="0"/>
        <w:jc w:val="both"/>
        <w:rPr>
          <w:sz w:val="22"/>
        </w:rPr>
      </w:pPr>
      <w:r>
        <w:rPr>
          <w:position w:val="2"/>
          <w:sz w:val="22"/>
        </w:rPr>
        <w:t>SO</w:t>
      </w:r>
      <w:r>
        <w:rPr>
          <w:sz w:val="14"/>
        </w:rPr>
        <w:t>2</w:t>
      </w:r>
      <w:r>
        <w:rPr>
          <w:position w:val="2"/>
          <w:sz w:val="22"/>
        </w:rPr>
        <w:t>(ppm) and CO</w:t>
      </w:r>
      <w:r>
        <w:rPr>
          <w:sz w:val="14"/>
        </w:rPr>
        <w:t>2</w:t>
      </w:r>
      <w:r>
        <w:rPr>
          <w:position w:val="2"/>
          <w:sz w:val="22"/>
        </w:rPr>
        <w:t>(%) to be continuously monitored and recorded onto a data</w:t>
      </w:r>
      <w:r>
        <w:rPr>
          <w:sz w:val="22"/>
        </w:rPr>
        <w:t> recording and processing device at a rate which should not be less than 0.0035</w:t>
      </w:r>
      <w:r>
        <w:rPr>
          <w:spacing w:val="-12"/>
          <w:sz w:val="22"/>
        </w:rPr>
        <w:t> </w:t>
      </w:r>
      <w:r>
        <w:rPr>
          <w:sz w:val="22"/>
        </w:rPr>
        <w:t>Hz.</w:t>
      </w:r>
    </w:p>
    <w:p>
      <w:pPr>
        <w:pStyle w:val="BodyText"/>
        <w:spacing w:before="8"/>
        <w:rPr>
          <w:sz w:val="21"/>
        </w:rPr>
      </w:pPr>
    </w:p>
    <w:p>
      <w:pPr>
        <w:pStyle w:val="ListParagraph"/>
        <w:numPr>
          <w:ilvl w:val="2"/>
          <w:numId w:val="2"/>
        </w:numPr>
        <w:tabs>
          <w:tab w:pos="1171" w:val="left" w:leader="none"/>
        </w:tabs>
        <w:spacing w:line="240" w:lineRule="auto" w:before="0" w:after="0"/>
        <w:ind w:left="318" w:right="412" w:firstLine="0"/>
        <w:jc w:val="both"/>
        <w:rPr>
          <w:sz w:val="22"/>
        </w:rPr>
      </w:pPr>
      <w:r>
        <w:rPr>
          <w:position w:val="2"/>
          <w:sz w:val="22"/>
        </w:rPr>
        <w:t>If more than one analyser is to be used to determine the SO</w:t>
      </w:r>
      <w:r>
        <w:rPr>
          <w:sz w:val="14"/>
        </w:rPr>
        <w:t>2</w:t>
      </w:r>
      <w:r>
        <w:rPr>
          <w:position w:val="2"/>
          <w:sz w:val="22"/>
        </w:rPr>
        <w:t>/CO</w:t>
      </w:r>
      <w:r>
        <w:rPr>
          <w:sz w:val="14"/>
        </w:rPr>
        <w:t>2 </w:t>
      </w:r>
      <w:r>
        <w:rPr>
          <w:position w:val="2"/>
          <w:sz w:val="22"/>
        </w:rPr>
        <w:t>ratio, these should</w:t>
      </w:r>
      <w:r>
        <w:rPr>
          <w:sz w:val="22"/>
        </w:rPr>
        <w:t> be tuned to have similar sampling and measurement times and the data outputs aligned so</w:t>
      </w:r>
      <w:r>
        <w:rPr>
          <w:position w:val="2"/>
          <w:sz w:val="22"/>
        </w:rPr>
        <w:t> that the SO</w:t>
      </w:r>
      <w:r>
        <w:rPr>
          <w:sz w:val="14"/>
        </w:rPr>
        <w:t>2</w:t>
      </w:r>
      <w:r>
        <w:rPr>
          <w:position w:val="2"/>
          <w:sz w:val="22"/>
        </w:rPr>
        <w:t>/CO</w:t>
      </w:r>
      <w:r>
        <w:rPr>
          <w:sz w:val="14"/>
        </w:rPr>
        <w:t>2 </w:t>
      </w:r>
      <w:r>
        <w:rPr>
          <w:position w:val="2"/>
          <w:sz w:val="22"/>
        </w:rPr>
        <w:t>ratio is fully representative of the exhaust gas</w:t>
      </w:r>
      <w:r>
        <w:rPr>
          <w:spacing w:val="-31"/>
          <w:position w:val="2"/>
          <w:sz w:val="22"/>
        </w:rPr>
        <w:t> </w:t>
      </w:r>
      <w:r>
        <w:rPr>
          <w:position w:val="2"/>
          <w:sz w:val="22"/>
        </w:rPr>
        <w:t>composition.</w:t>
      </w:r>
    </w:p>
    <w:p>
      <w:pPr>
        <w:pStyle w:val="BodyText"/>
        <w:spacing w:before="4"/>
        <w:rPr>
          <w:sz w:val="21"/>
        </w:rPr>
      </w:pPr>
    </w:p>
    <w:p>
      <w:pPr>
        <w:pStyle w:val="Heading1"/>
        <w:numPr>
          <w:ilvl w:val="1"/>
          <w:numId w:val="2"/>
        </w:numPr>
        <w:tabs>
          <w:tab w:pos="1171" w:val="left" w:leader="none"/>
        </w:tabs>
        <w:spacing w:line="240" w:lineRule="auto" w:before="1" w:after="0"/>
        <w:ind w:left="1170" w:right="0" w:hanging="853"/>
        <w:jc w:val="both"/>
      </w:pPr>
      <w:r>
        <w:rPr/>
        <w:t>Onboard procedures for demonstrating compliance with emission</w:t>
      </w:r>
      <w:r>
        <w:rPr>
          <w:spacing w:val="-14"/>
        </w:rPr>
        <w:t> </w:t>
      </w:r>
      <w:r>
        <w:rPr/>
        <w:t>limit</w:t>
      </w:r>
    </w:p>
    <w:p>
      <w:pPr>
        <w:pStyle w:val="BodyText"/>
        <w:spacing w:before="2"/>
        <w:rPr>
          <w:b/>
        </w:rPr>
      </w:pPr>
    </w:p>
    <w:p>
      <w:pPr>
        <w:pStyle w:val="ListParagraph"/>
        <w:numPr>
          <w:ilvl w:val="2"/>
          <w:numId w:val="2"/>
        </w:numPr>
        <w:tabs>
          <w:tab w:pos="1171" w:val="left" w:leader="none"/>
        </w:tabs>
        <w:spacing w:line="240" w:lineRule="auto" w:before="0" w:after="0"/>
        <w:ind w:left="1170" w:right="0" w:hanging="853"/>
        <w:jc w:val="both"/>
        <w:rPr>
          <w:sz w:val="22"/>
        </w:rPr>
      </w:pPr>
      <w:r>
        <w:rPr>
          <w:sz w:val="22"/>
        </w:rPr>
        <w:t>The data recording system should comply with the requirements of sections 7 and</w:t>
      </w:r>
      <w:r>
        <w:rPr>
          <w:spacing w:val="-13"/>
          <w:sz w:val="22"/>
        </w:rPr>
        <w:t> </w:t>
      </w:r>
      <w:r>
        <w:rPr>
          <w:sz w:val="22"/>
        </w:rPr>
        <w:t>8.</w:t>
      </w:r>
    </w:p>
    <w:p>
      <w:pPr>
        <w:pStyle w:val="BodyText"/>
        <w:spacing w:before="1"/>
      </w:pPr>
    </w:p>
    <w:p>
      <w:pPr>
        <w:pStyle w:val="ListParagraph"/>
        <w:numPr>
          <w:ilvl w:val="2"/>
          <w:numId w:val="2"/>
        </w:numPr>
        <w:tabs>
          <w:tab w:pos="1171" w:val="left" w:leader="none"/>
        </w:tabs>
        <w:spacing w:line="240" w:lineRule="auto" w:before="0" w:after="0"/>
        <w:ind w:left="318" w:right="414" w:firstLine="0"/>
        <w:jc w:val="both"/>
        <w:rPr>
          <w:sz w:val="22"/>
        </w:rPr>
      </w:pPr>
      <w:r>
        <w:rPr>
          <w:sz w:val="22"/>
        </w:rPr>
        <w:t>Daily spot checks of the parameters listed in paragraph 4.4.7 are needed to verify proper </w:t>
      </w:r>
      <w:r>
        <w:rPr>
          <w:spacing w:val="-3"/>
          <w:sz w:val="22"/>
        </w:rPr>
        <w:t>operation </w:t>
      </w:r>
      <w:r>
        <w:rPr>
          <w:sz w:val="22"/>
        </w:rPr>
        <w:t>of the </w:t>
      </w:r>
      <w:r>
        <w:rPr>
          <w:spacing w:val="-2"/>
          <w:sz w:val="22"/>
        </w:rPr>
        <w:t>EGC </w:t>
      </w:r>
      <w:r>
        <w:rPr>
          <w:spacing w:val="-3"/>
          <w:sz w:val="22"/>
        </w:rPr>
        <w:t>unit </w:t>
      </w:r>
      <w:r>
        <w:rPr>
          <w:sz w:val="22"/>
        </w:rPr>
        <w:t>and </w:t>
      </w:r>
      <w:r>
        <w:rPr>
          <w:spacing w:val="-3"/>
          <w:sz w:val="22"/>
        </w:rPr>
        <w:t>should </w:t>
      </w:r>
      <w:r>
        <w:rPr>
          <w:sz w:val="22"/>
        </w:rPr>
        <w:t>be recorded in the </w:t>
      </w:r>
      <w:r>
        <w:rPr>
          <w:spacing w:val="-2"/>
          <w:sz w:val="22"/>
        </w:rPr>
        <w:t>EGC </w:t>
      </w:r>
      <w:r>
        <w:rPr>
          <w:sz w:val="22"/>
        </w:rPr>
        <w:t>Record </w:t>
      </w:r>
      <w:r>
        <w:rPr>
          <w:spacing w:val="-3"/>
          <w:sz w:val="22"/>
        </w:rPr>
        <w:t>Book </w:t>
      </w:r>
      <w:r>
        <w:rPr>
          <w:sz w:val="22"/>
        </w:rPr>
        <w:t>or in the </w:t>
      </w:r>
      <w:r>
        <w:rPr>
          <w:spacing w:val="-3"/>
          <w:sz w:val="22"/>
        </w:rPr>
        <w:t>engine-room </w:t>
      </w:r>
      <w:r>
        <w:rPr>
          <w:sz w:val="22"/>
        </w:rPr>
        <w:t>logger</w:t>
      </w:r>
      <w:r>
        <w:rPr>
          <w:spacing w:val="1"/>
          <w:sz w:val="22"/>
        </w:rPr>
        <w:t> </w:t>
      </w:r>
      <w:r>
        <w:rPr>
          <w:sz w:val="22"/>
        </w:rPr>
        <w:t>system.</w:t>
      </w:r>
    </w:p>
    <w:p>
      <w:pPr>
        <w:pStyle w:val="BodyText"/>
        <w:spacing w:before="8"/>
        <w:rPr>
          <w:sz w:val="21"/>
        </w:rPr>
      </w:pPr>
    </w:p>
    <w:p>
      <w:pPr>
        <w:pStyle w:val="Heading1"/>
        <w:numPr>
          <w:ilvl w:val="1"/>
          <w:numId w:val="2"/>
        </w:numPr>
        <w:tabs>
          <w:tab w:pos="1171" w:val="left" w:leader="none"/>
        </w:tabs>
        <w:spacing w:line="240" w:lineRule="auto" w:before="0" w:after="0"/>
        <w:ind w:left="1170" w:right="0" w:hanging="853"/>
        <w:jc w:val="both"/>
      </w:pPr>
      <w:r>
        <w:rPr/>
        <w:t>EGC System Technical Manual "Scheme B"</w:t>
      </w:r>
      <w:r>
        <w:rPr>
          <w:spacing w:val="-1"/>
        </w:rPr>
        <w:t> </w:t>
      </w:r>
      <w:r>
        <w:rPr/>
        <w:t>(ETM-B)</w:t>
      </w:r>
    </w:p>
    <w:p>
      <w:pPr>
        <w:pStyle w:val="BodyText"/>
        <w:spacing w:before="2"/>
        <w:rPr>
          <w:b/>
        </w:rPr>
      </w:pPr>
    </w:p>
    <w:p>
      <w:pPr>
        <w:pStyle w:val="ListParagraph"/>
        <w:numPr>
          <w:ilvl w:val="2"/>
          <w:numId w:val="2"/>
        </w:numPr>
        <w:tabs>
          <w:tab w:pos="1171" w:val="left" w:leader="none"/>
        </w:tabs>
        <w:spacing w:line="240" w:lineRule="auto" w:before="1" w:after="0"/>
        <w:ind w:left="318" w:right="413" w:firstLine="0"/>
        <w:jc w:val="both"/>
        <w:rPr>
          <w:sz w:val="22"/>
        </w:rPr>
      </w:pPr>
      <w:r>
        <w:rPr>
          <w:sz w:val="22"/>
        </w:rPr>
        <w:t>Each EGC unit should be supplied with an ETM-B provided by the manufacturer. This ETM-B should, as a minimum, contain the following</w:t>
      </w:r>
      <w:r>
        <w:rPr>
          <w:spacing w:val="-9"/>
          <w:sz w:val="22"/>
        </w:rPr>
        <w:t> </w:t>
      </w:r>
      <w:r>
        <w:rPr>
          <w:sz w:val="22"/>
        </w:rPr>
        <w:t>information:</w:t>
      </w:r>
    </w:p>
    <w:p>
      <w:pPr>
        <w:pStyle w:val="BodyText"/>
        <w:spacing w:before="10"/>
        <w:rPr>
          <w:sz w:val="21"/>
        </w:rPr>
      </w:pPr>
    </w:p>
    <w:p>
      <w:pPr>
        <w:pStyle w:val="ListParagraph"/>
        <w:numPr>
          <w:ilvl w:val="0"/>
          <w:numId w:val="6"/>
        </w:numPr>
        <w:tabs>
          <w:tab w:pos="1891" w:val="left" w:leader="none"/>
        </w:tabs>
        <w:spacing w:line="240" w:lineRule="auto" w:before="1" w:after="0"/>
        <w:ind w:left="1890" w:right="417" w:hanging="720"/>
        <w:jc w:val="both"/>
        <w:rPr>
          <w:sz w:val="22"/>
        </w:rPr>
      </w:pPr>
      <w:r>
        <w:rPr>
          <w:sz w:val="22"/>
        </w:rPr>
        <w:t>the identification of the unit (manufacturer, model/type, serial number and other details as necessary) including a description of the unit and any required ancillary</w:t>
      </w:r>
      <w:r>
        <w:rPr>
          <w:spacing w:val="-2"/>
          <w:sz w:val="22"/>
        </w:rPr>
        <w:t> </w:t>
      </w:r>
      <w:r>
        <w:rPr>
          <w:sz w:val="22"/>
        </w:rPr>
        <w:t>systems;</w:t>
      </w:r>
    </w:p>
    <w:p>
      <w:pPr>
        <w:pStyle w:val="BodyText"/>
        <w:spacing w:before="11"/>
        <w:rPr>
          <w:sz w:val="19"/>
        </w:rPr>
      </w:pPr>
    </w:p>
    <w:p>
      <w:pPr>
        <w:pStyle w:val="ListParagraph"/>
        <w:numPr>
          <w:ilvl w:val="0"/>
          <w:numId w:val="6"/>
        </w:numPr>
        <w:tabs>
          <w:tab w:pos="1891" w:val="left" w:leader="none"/>
        </w:tabs>
        <w:spacing w:line="240" w:lineRule="auto" w:before="0" w:after="0"/>
        <w:ind w:left="1890" w:right="412" w:hanging="720"/>
        <w:jc w:val="both"/>
        <w:rPr>
          <w:sz w:val="22"/>
        </w:rPr>
      </w:pPr>
      <w:r>
        <w:rPr>
          <w:sz w:val="22"/>
        </w:rPr>
        <w:t>the operating limits, or range of operating values, for which the unit is certified. These should, as a minimum,</w:t>
      </w:r>
      <w:r>
        <w:rPr>
          <w:spacing w:val="-9"/>
          <w:sz w:val="22"/>
        </w:rPr>
        <w:t> </w:t>
      </w:r>
      <w:r>
        <w:rPr>
          <w:sz w:val="22"/>
        </w:rPr>
        <w:t>include:</w:t>
      </w:r>
    </w:p>
    <w:p>
      <w:pPr>
        <w:pStyle w:val="BodyText"/>
        <w:spacing w:before="1"/>
        <w:rPr>
          <w:sz w:val="20"/>
        </w:rPr>
      </w:pPr>
    </w:p>
    <w:p>
      <w:pPr>
        <w:pStyle w:val="ListParagraph"/>
        <w:numPr>
          <w:ilvl w:val="1"/>
          <w:numId w:val="6"/>
        </w:numPr>
        <w:tabs>
          <w:tab w:pos="2610" w:val="left" w:leader="none"/>
          <w:tab w:pos="2611" w:val="left" w:leader="none"/>
        </w:tabs>
        <w:spacing w:line="240" w:lineRule="auto" w:before="0" w:after="0"/>
        <w:ind w:left="2610" w:right="0" w:hanging="721"/>
        <w:jc w:val="left"/>
        <w:rPr>
          <w:sz w:val="22"/>
        </w:rPr>
      </w:pPr>
      <w:r>
        <w:rPr>
          <w:sz w:val="22"/>
        </w:rPr>
        <w:t>maximum and, if applicable, minimum mass flow rate of exhaust</w:t>
      </w:r>
      <w:r>
        <w:rPr>
          <w:spacing w:val="-13"/>
          <w:sz w:val="22"/>
        </w:rPr>
        <w:t> </w:t>
      </w:r>
      <w:r>
        <w:rPr>
          <w:sz w:val="22"/>
        </w:rPr>
        <w:t>gas;</w:t>
      </w:r>
    </w:p>
    <w:p>
      <w:pPr>
        <w:pStyle w:val="BodyText"/>
        <w:spacing w:before="1"/>
      </w:pPr>
    </w:p>
    <w:p>
      <w:pPr>
        <w:pStyle w:val="ListParagraph"/>
        <w:numPr>
          <w:ilvl w:val="1"/>
          <w:numId w:val="6"/>
        </w:numPr>
        <w:tabs>
          <w:tab w:pos="2611" w:val="left" w:leader="none"/>
        </w:tabs>
        <w:spacing w:line="240" w:lineRule="auto" w:before="0" w:after="0"/>
        <w:ind w:left="2610" w:right="412" w:hanging="720"/>
        <w:jc w:val="both"/>
        <w:rPr>
          <w:sz w:val="22"/>
        </w:rPr>
      </w:pPr>
      <w:r>
        <w:rPr>
          <w:sz w:val="22"/>
        </w:rPr>
        <w:t>the power, type and other relevant parameters of the fuel oil combustion unit for which the EGC unit is to be fitted. In the cases of boilers, the maximum air/fuel ratio at 100% load should also be given. In the cases of diesel engines whether the engine is of 2 or 4-stroke cycle;</w:t>
      </w:r>
    </w:p>
    <w:p>
      <w:pPr>
        <w:pStyle w:val="BodyText"/>
        <w:spacing w:before="10"/>
        <w:rPr>
          <w:sz w:val="21"/>
        </w:rPr>
      </w:pPr>
    </w:p>
    <w:p>
      <w:pPr>
        <w:pStyle w:val="ListParagraph"/>
        <w:numPr>
          <w:ilvl w:val="1"/>
          <w:numId w:val="6"/>
        </w:numPr>
        <w:tabs>
          <w:tab w:pos="2611" w:val="left" w:leader="none"/>
        </w:tabs>
        <w:spacing w:line="240" w:lineRule="auto" w:before="0" w:after="0"/>
        <w:ind w:left="2610" w:right="416" w:hanging="720"/>
        <w:jc w:val="both"/>
        <w:rPr>
          <w:sz w:val="22"/>
        </w:rPr>
      </w:pPr>
      <w:r>
        <w:rPr>
          <w:sz w:val="22"/>
        </w:rPr>
        <w:t>maximum and minimum washwater flow rate, inlet pressures and minimum inlet water alkalinity (ISO 9963-1-2);</w:t>
      </w:r>
    </w:p>
    <w:p>
      <w:pPr>
        <w:spacing w:after="0" w:line="240" w:lineRule="auto"/>
        <w:jc w:val="both"/>
        <w:rPr>
          <w:sz w:val="22"/>
        </w:rPr>
        <w:sectPr>
          <w:pgSz w:w="11910" w:h="16840"/>
          <w:pgMar w:header="856" w:footer="805" w:top="1540" w:bottom="1060" w:left="1100" w:right="1000"/>
        </w:sectPr>
      </w:pPr>
    </w:p>
    <w:p>
      <w:pPr>
        <w:pStyle w:val="ListParagraph"/>
        <w:numPr>
          <w:ilvl w:val="1"/>
          <w:numId w:val="6"/>
        </w:numPr>
        <w:tabs>
          <w:tab w:pos="2611" w:val="left" w:leader="none"/>
        </w:tabs>
        <w:spacing w:line="240" w:lineRule="auto" w:before="89" w:after="0"/>
        <w:ind w:left="2610" w:right="418" w:hanging="720"/>
        <w:jc w:val="both"/>
        <w:rPr>
          <w:sz w:val="22"/>
        </w:rPr>
      </w:pPr>
      <w:r>
        <w:rPr>
          <w:sz w:val="22"/>
        </w:rPr>
        <w:t>exhaust gas inlet temperature ranges and maximum and minimum exhaust gas outlet temperature with the EGC unit in</w:t>
      </w:r>
      <w:r>
        <w:rPr>
          <w:spacing w:val="-9"/>
          <w:sz w:val="22"/>
        </w:rPr>
        <w:t> </w:t>
      </w:r>
      <w:r>
        <w:rPr>
          <w:sz w:val="22"/>
        </w:rPr>
        <w:t>operation;</w:t>
      </w:r>
    </w:p>
    <w:p>
      <w:pPr>
        <w:pStyle w:val="BodyText"/>
        <w:spacing w:before="2"/>
      </w:pPr>
    </w:p>
    <w:p>
      <w:pPr>
        <w:pStyle w:val="ListParagraph"/>
        <w:numPr>
          <w:ilvl w:val="1"/>
          <w:numId w:val="6"/>
        </w:numPr>
        <w:tabs>
          <w:tab w:pos="2611" w:val="left" w:leader="none"/>
        </w:tabs>
        <w:spacing w:line="240" w:lineRule="auto" w:before="0" w:after="0"/>
        <w:ind w:left="2610" w:right="415" w:hanging="720"/>
        <w:jc w:val="both"/>
        <w:rPr>
          <w:sz w:val="22"/>
        </w:rPr>
      </w:pPr>
      <w:r>
        <w:rPr>
          <w:sz w:val="22"/>
        </w:rPr>
        <w:t>exhaust gas differential pressure range and the maximum exhaust gas inlet pressure with the fuel oil combustion unit operating at </w:t>
      </w:r>
      <w:r>
        <w:rPr>
          <w:spacing w:val="-2"/>
          <w:sz w:val="22"/>
        </w:rPr>
        <w:t>MCR </w:t>
      </w:r>
      <w:r>
        <w:rPr>
          <w:sz w:val="22"/>
        </w:rPr>
        <w:t>or 80% of power rating whichever is</w:t>
      </w:r>
      <w:r>
        <w:rPr>
          <w:spacing w:val="5"/>
          <w:sz w:val="22"/>
        </w:rPr>
        <w:t> </w:t>
      </w:r>
      <w:r>
        <w:rPr>
          <w:sz w:val="22"/>
        </w:rPr>
        <w:t>appropriate;</w:t>
      </w:r>
    </w:p>
    <w:p>
      <w:pPr>
        <w:pStyle w:val="BodyText"/>
        <w:spacing w:before="10"/>
        <w:rPr>
          <w:sz w:val="21"/>
        </w:rPr>
      </w:pPr>
    </w:p>
    <w:p>
      <w:pPr>
        <w:pStyle w:val="ListParagraph"/>
        <w:numPr>
          <w:ilvl w:val="1"/>
          <w:numId w:val="6"/>
        </w:numPr>
        <w:tabs>
          <w:tab w:pos="2611" w:val="left" w:leader="none"/>
        </w:tabs>
        <w:spacing w:line="240" w:lineRule="auto" w:before="0" w:after="0"/>
        <w:ind w:left="2610" w:right="417" w:hanging="720"/>
        <w:jc w:val="both"/>
        <w:rPr>
          <w:sz w:val="22"/>
        </w:rPr>
      </w:pPr>
      <w:r>
        <w:rPr>
          <w:sz w:val="22"/>
        </w:rPr>
        <w:t>salinity levels or fresh water elements necessary to provide adequate neutralizing agents; and</w:t>
      </w:r>
    </w:p>
    <w:p>
      <w:pPr>
        <w:pStyle w:val="BodyText"/>
        <w:spacing w:before="11"/>
        <w:rPr>
          <w:sz w:val="21"/>
        </w:rPr>
      </w:pPr>
    </w:p>
    <w:p>
      <w:pPr>
        <w:pStyle w:val="ListParagraph"/>
        <w:numPr>
          <w:ilvl w:val="1"/>
          <w:numId w:val="6"/>
        </w:numPr>
        <w:tabs>
          <w:tab w:pos="2611" w:val="left" w:leader="none"/>
        </w:tabs>
        <w:spacing w:line="240" w:lineRule="auto" w:before="0" w:after="0"/>
        <w:ind w:left="2610" w:right="416" w:hanging="720"/>
        <w:jc w:val="both"/>
        <w:rPr>
          <w:sz w:val="22"/>
        </w:rPr>
      </w:pPr>
      <w:r>
        <w:rPr>
          <w:sz w:val="22"/>
        </w:rPr>
        <w:t>other parameters as necessary concerning the operation of the EGC unit;</w:t>
      </w:r>
    </w:p>
    <w:p>
      <w:pPr>
        <w:pStyle w:val="BodyText"/>
        <w:spacing w:before="1"/>
      </w:pPr>
    </w:p>
    <w:p>
      <w:pPr>
        <w:pStyle w:val="ListParagraph"/>
        <w:numPr>
          <w:ilvl w:val="0"/>
          <w:numId w:val="6"/>
        </w:numPr>
        <w:tabs>
          <w:tab w:pos="1890" w:val="left" w:leader="none"/>
          <w:tab w:pos="1891" w:val="left" w:leader="none"/>
        </w:tabs>
        <w:spacing w:line="240" w:lineRule="auto" w:before="1" w:after="0"/>
        <w:ind w:left="1890" w:right="418" w:hanging="720"/>
        <w:jc w:val="left"/>
        <w:rPr>
          <w:sz w:val="22"/>
        </w:rPr>
      </w:pPr>
      <w:r>
        <w:rPr>
          <w:sz w:val="22"/>
        </w:rPr>
        <w:t>any requirements or restrictions applicable to the EGC unit or associated equipment;</w:t>
      </w:r>
    </w:p>
    <w:p>
      <w:pPr>
        <w:pStyle w:val="BodyText"/>
        <w:spacing w:before="11"/>
        <w:rPr>
          <w:sz w:val="21"/>
        </w:rPr>
      </w:pPr>
    </w:p>
    <w:p>
      <w:pPr>
        <w:pStyle w:val="ListParagraph"/>
        <w:numPr>
          <w:ilvl w:val="0"/>
          <w:numId w:val="6"/>
        </w:numPr>
        <w:tabs>
          <w:tab w:pos="1890" w:val="left" w:leader="none"/>
          <w:tab w:pos="1891" w:val="left" w:leader="none"/>
        </w:tabs>
        <w:spacing w:line="240" w:lineRule="auto" w:before="0" w:after="0"/>
        <w:ind w:left="1890" w:right="417" w:hanging="720"/>
        <w:jc w:val="left"/>
        <w:rPr>
          <w:sz w:val="22"/>
        </w:rPr>
      </w:pPr>
      <w:r>
        <w:rPr>
          <w:sz w:val="22"/>
        </w:rPr>
        <w:t>corrective actions in case of exceedances of the applicable maximum</w:t>
      </w:r>
      <w:r>
        <w:rPr>
          <w:position w:val="2"/>
          <w:sz w:val="22"/>
        </w:rPr>
        <w:t> allowable SO</w:t>
      </w:r>
      <w:r>
        <w:rPr>
          <w:sz w:val="14"/>
        </w:rPr>
        <w:t>2</w:t>
      </w:r>
      <w:r>
        <w:rPr>
          <w:position w:val="2"/>
          <w:sz w:val="22"/>
        </w:rPr>
        <w:t>/CO</w:t>
      </w:r>
      <w:r>
        <w:rPr>
          <w:sz w:val="14"/>
        </w:rPr>
        <w:t>2 </w:t>
      </w:r>
      <w:r>
        <w:rPr>
          <w:position w:val="2"/>
          <w:sz w:val="22"/>
        </w:rPr>
        <w:t>ratio, or washwater discharge</w:t>
      </w:r>
      <w:r>
        <w:rPr>
          <w:spacing w:val="-19"/>
          <w:position w:val="2"/>
          <w:sz w:val="22"/>
        </w:rPr>
        <w:t> </w:t>
      </w:r>
      <w:r>
        <w:rPr>
          <w:position w:val="2"/>
          <w:sz w:val="22"/>
        </w:rPr>
        <w:t>criteria;</w:t>
      </w:r>
    </w:p>
    <w:p>
      <w:pPr>
        <w:pStyle w:val="BodyText"/>
        <w:spacing w:before="8"/>
        <w:rPr>
          <w:sz w:val="21"/>
        </w:rPr>
      </w:pPr>
    </w:p>
    <w:p>
      <w:pPr>
        <w:pStyle w:val="ListParagraph"/>
        <w:numPr>
          <w:ilvl w:val="0"/>
          <w:numId w:val="6"/>
        </w:numPr>
        <w:tabs>
          <w:tab w:pos="1890" w:val="left" w:leader="none"/>
          <w:tab w:pos="1891" w:val="left" w:leader="none"/>
        </w:tabs>
        <w:spacing w:line="240" w:lineRule="auto" w:before="0" w:after="0"/>
        <w:ind w:left="1890" w:right="0" w:hanging="721"/>
        <w:jc w:val="left"/>
        <w:rPr>
          <w:sz w:val="22"/>
        </w:rPr>
      </w:pPr>
      <w:r>
        <w:rPr>
          <w:sz w:val="22"/>
        </w:rPr>
        <w:t>through range performance variation in washwater</w:t>
      </w:r>
      <w:r>
        <w:rPr>
          <w:spacing w:val="-7"/>
          <w:sz w:val="22"/>
        </w:rPr>
        <w:t> </w:t>
      </w:r>
      <w:r>
        <w:rPr>
          <w:sz w:val="22"/>
        </w:rPr>
        <w:t>characteristics;</w:t>
      </w:r>
    </w:p>
    <w:p>
      <w:pPr>
        <w:pStyle w:val="BodyText"/>
      </w:pPr>
    </w:p>
    <w:p>
      <w:pPr>
        <w:pStyle w:val="ListParagraph"/>
        <w:numPr>
          <w:ilvl w:val="0"/>
          <w:numId w:val="6"/>
        </w:numPr>
        <w:tabs>
          <w:tab w:pos="1890" w:val="left" w:leader="none"/>
          <w:tab w:pos="1891" w:val="left" w:leader="none"/>
        </w:tabs>
        <w:spacing w:line="240" w:lineRule="auto" w:before="1" w:after="0"/>
        <w:ind w:left="1890" w:right="0" w:hanging="721"/>
        <w:jc w:val="left"/>
        <w:rPr>
          <w:sz w:val="22"/>
        </w:rPr>
      </w:pPr>
      <w:r>
        <w:rPr>
          <w:sz w:val="22"/>
        </w:rPr>
        <w:t>design requirements of the washwater</w:t>
      </w:r>
      <w:r>
        <w:rPr>
          <w:spacing w:val="-5"/>
          <w:sz w:val="22"/>
        </w:rPr>
        <w:t> </w:t>
      </w:r>
      <w:r>
        <w:rPr>
          <w:sz w:val="22"/>
        </w:rPr>
        <w:t>system.</w:t>
      </w:r>
    </w:p>
    <w:p>
      <w:pPr>
        <w:pStyle w:val="BodyText"/>
      </w:pPr>
    </w:p>
    <w:p>
      <w:pPr>
        <w:pStyle w:val="ListParagraph"/>
        <w:numPr>
          <w:ilvl w:val="2"/>
          <w:numId w:val="2"/>
        </w:numPr>
        <w:tabs>
          <w:tab w:pos="1171" w:val="left" w:leader="none"/>
        </w:tabs>
        <w:spacing w:line="240" w:lineRule="auto" w:before="0" w:after="0"/>
        <w:ind w:left="1170" w:right="0" w:hanging="853"/>
        <w:jc w:val="both"/>
        <w:rPr>
          <w:sz w:val="22"/>
        </w:rPr>
      </w:pPr>
      <w:r>
        <w:rPr>
          <w:sz w:val="22"/>
        </w:rPr>
        <w:t>The ETM-B should be approved by the</w:t>
      </w:r>
      <w:r>
        <w:rPr>
          <w:spacing w:val="-8"/>
          <w:sz w:val="22"/>
        </w:rPr>
        <w:t> </w:t>
      </w:r>
      <w:r>
        <w:rPr>
          <w:sz w:val="22"/>
        </w:rPr>
        <w:t>Administration.</w:t>
      </w:r>
    </w:p>
    <w:p>
      <w:pPr>
        <w:pStyle w:val="BodyText"/>
        <w:spacing w:before="9"/>
        <w:rPr>
          <w:sz w:val="21"/>
        </w:rPr>
      </w:pPr>
    </w:p>
    <w:p>
      <w:pPr>
        <w:pStyle w:val="ListParagraph"/>
        <w:numPr>
          <w:ilvl w:val="2"/>
          <w:numId w:val="2"/>
        </w:numPr>
        <w:tabs>
          <w:tab w:pos="1171" w:val="left" w:leader="none"/>
        </w:tabs>
        <w:spacing w:line="240" w:lineRule="auto" w:before="1" w:after="0"/>
        <w:ind w:left="318" w:right="419" w:firstLine="0"/>
        <w:jc w:val="both"/>
        <w:rPr>
          <w:sz w:val="22"/>
        </w:rPr>
      </w:pPr>
      <w:r>
        <w:rPr>
          <w:sz w:val="22"/>
        </w:rPr>
        <w:t>The ETM-B should be retained on board the ship onto which the EGC unit is fitted. The ETM-B should be available for surveys as</w:t>
      </w:r>
      <w:r>
        <w:rPr>
          <w:spacing w:val="-4"/>
          <w:sz w:val="22"/>
        </w:rPr>
        <w:t> </w:t>
      </w:r>
      <w:r>
        <w:rPr>
          <w:sz w:val="22"/>
        </w:rPr>
        <w:t>required.</w:t>
      </w:r>
    </w:p>
    <w:p>
      <w:pPr>
        <w:pStyle w:val="BodyText"/>
        <w:spacing w:before="1"/>
      </w:pPr>
    </w:p>
    <w:p>
      <w:pPr>
        <w:pStyle w:val="ListParagraph"/>
        <w:numPr>
          <w:ilvl w:val="2"/>
          <w:numId w:val="2"/>
        </w:numPr>
        <w:tabs>
          <w:tab w:pos="1171" w:val="left" w:leader="none"/>
        </w:tabs>
        <w:spacing w:line="240" w:lineRule="auto" w:before="0" w:after="0"/>
        <w:ind w:left="318" w:right="411" w:firstLine="0"/>
        <w:jc w:val="both"/>
        <w:rPr>
          <w:sz w:val="22"/>
        </w:rPr>
      </w:pPr>
      <w:r>
        <w:rPr>
          <w:sz w:val="22"/>
        </w:rPr>
        <w:t>Amendments to the ETM-B which reflect EGC unit changes that affect performance with respect to emissions to air and/or water should be approved by the Administration. Where additions, deletions or amendments to the ETM-B are separate to the ETM-B as initially </w:t>
      </w:r>
      <w:r>
        <w:rPr>
          <w:spacing w:val="-3"/>
          <w:sz w:val="22"/>
        </w:rPr>
        <w:t>approved, </w:t>
      </w:r>
      <w:r>
        <w:rPr>
          <w:sz w:val="22"/>
        </w:rPr>
        <w:t>they </w:t>
      </w:r>
      <w:r>
        <w:rPr>
          <w:spacing w:val="-3"/>
          <w:sz w:val="22"/>
        </w:rPr>
        <w:t>should </w:t>
      </w:r>
      <w:r>
        <w:rPr>
          <w:sz w:val="22"/>
        </w:rPr>
        <w:t>be </w:t>
      </w:r>
      <w:r>
        <w:rPr>
          <w:spacing w:val="-3"/>
          <w:sz w:val="22"/>
        </w:rPr>
        <w:t>retained with </w:t>
      </w:r>
      <w:r>
        <w:rPr>
          <w:sz w:val="22"/>
        </w:rPr>
        <w:t>the ETM-B and </w:t>
      </w:r>
      <w:r>
        <w:rPr>
          <w:spacing w:val="-3"/>
          <w:sz w:val="22"/>
        </w:rPr>
        <w:t>should </w:t>
      </w:r>
      <w:r>
        <w:rPr>
          <w:sz w:val="22"/>
        </w:rPr>
        <w:t>be </w:t>
      </w:r>
      <w:r>
        <w:rPr>
          <w:spacing w:val="-3"/>
          <w:sz w:val="22"/>
        </w:rPr>
        <w:t>considered </w:t>
      </w:r>
      <w:r>
        <w:rPr>
          <w:sz w:val="22"/>
        </w:rPr>
        <w:t>as part  of</w:t>
      </w:r>
      <w:r>
        <w:rPr>
          <w:spacing w:val="-4"/>
          <w:sz w:val="22"/>
        </w:rPr>
        <w:t> </w:t>
      </w:r>
      <w:r>
        <w:rPr>
          <w:spacing w:val="-2"/>
          <w:sz w:val="22"/>
        </w:rPr>
        <w:t>it.</w:t>
      </w:r>
    </w:p>
    <w:p>
      <w:pPr>
        <w:pStyle w:val="BodyText"/>
        <w:spacing w:before="9"/>
        <w:rPr>
          <w:sz w:val="21"/>
        </w:rPr>
      </w:pPr>
    </w:p>
    <w:p>
      <w:pPr>
        <w:pStyle w:val="Heading1"/>
        <w:numPr>
          <w:ilvl w:val="0"/>
          <w:numId w:val="2"/>
        </w:numPr>
        <w:tabs>
          <w:tab w:pos="1170" w:val="left" w:leader="none"/>
          <w:tab w:pos="1171" w:val="left" w:leader="none"/>
        </w:tabs>
        <w:spacing w:line="240" w:lineRule="auto" w:before="0" w:after="0"/>
        <w:ind w:left="1170" w:right="0" w:hanging="853"/>
        <w:jc w:val="both"/>
      </w:pPr>
      <w:r>
        <w:rPr/>
        <w:t>EMISSION</w:t>
      </w:r>
      <w:r>
        <w:rPr>
          <w:spacing w:val="-1"/>
        </w:rPr>
        <w:t> </w:t>
      </w:r>
      <w:r>
        <w:rPr/>
        <w:t>TESTING</w:t>
      </w:r>
    </w:p>
    <w:p>
      <w:pPr>
        <w:pStyle w:val="BodyText"/>
        <w:spacing w:before="1"/>
        <w:rPr>
          <w:b/>
          <w:sz w:val="20"/>
        </w:rPr>
      </w:pPr>
    </w:p>
    <w:p>
      <w:pPr>
        <w:pStyle w:val="ListParagraph"/>
        <w:numPr>
          <w:ilvl w:val="1"/>
          <w:numId w:val="2"/>
        </w:numPr>
        <w:tabs>
          <w:tab w:pos="1171" w:val="left" w:leader="none"/>
        </w:tabs>
        <w:spacing w:line="240" w:lineRule="auto" w:before="0" w:after="0"/>
        <w:ind w:left="318" w:right="413" w:firstLine="0"/>
        <w:jc w:val="both"/>
        <w:rPr>
          <w:sz w:val="22"/>
        </w:rPr>
      </w:pPr>
      <w:r>
        <w:rPr>
          <w:position w:val="2"/>
          <w:sz w:val="22"/>
        </w:rPr>
        <w:t>Emission testing should follow the requirements of the NO</w:t>
      </w:r>
      <w:r>
        <w:rPr>
          <w:sz w:val="14"/>
        </w:rPr>
        <w:t>X </w:t>
      </w:r>
      <w:r>
        <w:rPr>
          <w:position w:val="2"/>
          <w:sz w:val="22"/>
        </w:rPr>
        <w:t>Technical Code 2008,</w:t>
      </w:r>
      <w:r>
        <w:rPr>
          <w:sz w:val="22"/>
        </w:rPr>
        <w:t> chapter 5, and associated appendices, except as provided for in these</w:t>
      </w:r>
      <w:r>
        <w:rPr>
          <w:spacing w:val="-12"/>
          <w:sz w:val="22"/>
        </w:rPr>
        <w:t> </w:t>
      </w:r>
      <w:r>
        <w:rPr>
          <w:sz w:val="22"/>
        </w:rPr>
        <w:t>guidelines.</w:t>
      </w:r>
    </w:p>
    <w:p>
      <w:pPr>
        <w:pStyle w:val="BodyText"/>
        <w:spacing w:before="1"/>
      </w:pPr>
    </w:p>
    <w:p>
      <w:pPr>
        <w:pStyle w:val="ListParagraph"/>
        <w:numPr>
          <w:ilvl w:val="1"/>
          <w:numId w:val="2"/>
        </w:numPr>
        <w:tabs>
          <w:tab w:pos="1171" w:val="left" w:leader="none"/>
        </w:tabs>
        <w:spacing w:line="237" w:lineRule="auto" w:before="0" w:after="0"/>
        <w:ind w:left="318" w:right="413" w:firstLine="0"/>
        <w:jc w:val="both"/>
        <w:rPr>
          <w:sz w:val="22"/>
        </w:rPr>
      </w:pPr>
      <w:r>
        <w:rPr>
          <w:position w:val="2"/>
          <w:sz w:val="22"/>
        </w:rPr>
        <w:t>CO</w:t>
      </w:r>
      <w:r>
        <w:rPr>
          <w:sz w:val="14"/>
        </w:rPr>
        <w:t>2 </w:t>
      </w:r>
      <w:r>
        <w:rPr>
          <w:position w:val="2"/>
          <w:sz w:val="22"/>
        </w:rPr>
        <w:t>should be measured using an analyser operating on non-dispersive infrared (NDIR) principle and with additional equipment such as dryers as necessary. SO</w:t>
      </w:r>
      <w:r>
        <w:rPr>
          <w:sz w:val="14"/>
        </w:rPr>
        <w:t>2 </w:t>
      </w:r>
      <w:r>
        <w:rPr>
          <w:position w:val="2"/>
          <w:sz w:val="22"/>
        </w:rPr>
        <w:t>should be</w:t>
      </w:r>
      <w:r>
        <w:rPr>
          <w:sz w:val="22"/>
        </w:rPr>
        <w:t> measured using analysers operating on non-dispersive infrared (NDIR) or non-dispersive ultra-violet (NDUV) principles and with additional equipment such as dryers as necessary. Other systems or analyser principles may be accepted, subject to the approval of the Administration, provided they yield equivalent or better results to those of the equipment</w:t>
      </w:r>
      <w:r>
        <w:rPr>
          <w:position w:val="2"/>
          <w:sz w:val="22"/>
        </w:rPr>
        <w:t> referenced above. For acceptance of other CO</w:t>
      </w:r>
      <w:r>
        <w:rPr>
          <w:sz w:val="14"/>
        </w:rPr>
        <w:t>2 </w:t>
      </w:r>
      <w:r>
        <w:rPr>
          <w:position w:val="2"/>
          <w:sz w:val="22"/>
        </w:rPr>
        <w:t>systems or analyser principles, the reference method should be in accordance with the requirements of appendix III of the NO</w:t>
      </w:r>
      <w:r>
        <w:rPr>
          <w:sz w:val="14"/>
        </w:rPr>
        <w:t>X </w:t>
      </w:r>
      <w:r>
        <w:rPr>
          <w:position w:val="2"/>
          <w:sz w:val="22"/>
        </w:rPr>
        <w:t>Technical</w:t>
      </w:r>
      <w:r>
        <w:rPr>
          <w:sz w:val="22"/>
        </w:rPr>
        <w:t> Code 2008.</w:t>
      </w:r>
    </w:p>
    <w:p>
      <w:pPr>
        <w:pStyle w:val="BodyText"/>
        <w:spacing w:before="9"/>
      </w:pPr>
    </w:p>
    <w:p>
      <w:pPr>
        <w:pStyle w:val="ListParagraph"/>
        <w:numPr>
          <w:ilvl w:val="1"/>
          <w:numId w:val="2"/>
        </w:numPr>
        <w:tabs>
          <w:tab w:pos="1171" w:val="left" w:leader="none"/>
        </w:tabs>
        <w:spacing w:line="240" w:lineRule="auto" w:before="0" w:after="0"/>
        <w:ind w:left="318" w:right="417" w:firstLine="0"/>
        <w:jc w:val="both"/>
        <w:rPr>
          <w:sz w:val="22"/>
        </w:rPr>
      </w:pPr>
      <w:r>
        <w:rPr>
          <w:sz w:val="22"/>
        </w:rPr>
        <w:t>Analyser performance should be in  accordance  with  the  requirements  of </w:t>
      </w:r>
      <w:r>
        <w:rPr>
          <w:position w:val="2"/>
          <w:sz w:val="22"/>
        </w:rPr>
        <w:t> sections 1.6 to 1.10 of appendix III of the NO</w:t>
      </w:r>
      <w:r>
        <w:rPr>
          <w:sz w:val="14"/>
        </w:rPr>
        <w:t>X </w:t>
      </w:r>
      <w:r>
        <w:rPr>
          <w:position w:val="2"/>
          <w:sz w:val="22"/>
        </w:rPr>
        <w:t>Technical Code</w:t>
      </w:r>
      <w:r>
        <w:rPr>
          <w:spacing w:val="-11"/>
          <w:position w:val="2"/>
          <w:sz w:val="22"/>
        </w:rPr>
        <w:t> </w:t>
      </w:r>
      <w:r>
        <w:rPr>
          <w:position w:val="2"/>
          <w:sz w:val="22"/>
        </w:rPr>
        <w:t>2008.</w:t>
      </w:r>
    </w:p>
    <w:p>
      <w:pPr>
        <w:pStyle w:val="BodyText"/>
        <w:spacing w:before="10"/>
        <w:rPr>
          <w:sz w:val="21"/>
        </w:rPr>
      </w:pPr>
    </w:p>
    <w:p>
      <w:pPr>
        <w:pStyle w:val="ListParagraph"/>
        <w:numPr>
          <w:ilvl w:val="1"/>
          <w:numId w:val="2"/>
        </w:numPr>
        <w:tabs>
          <w:tab w:pos="1171" w:val="left" w:leader="none"/>
        </w:tabs>
        <w:spacing w:line="237" w:lineRule="auto" w:before="0" w:after="0"/>
        <w:ind w:left="318" w:right="418" w:firstLine="0"/>
        <w:jc w:val="both"/>
        <w:rPr>
          <w:sz w:val="22"/>
        </w:rPr>
      </w:pPr>
      <w:r>
        <w:rPr>
          <w:position w:val="2"/>
          <w:sz w:val="22"/>
        </w:rPr>
        <w:t>An exhaust gas sample for SO</w:t>
      </w:r>
      <w:r>
        <w:rPr>
          <w:sz w:val="14"/>
        </w:rPr>
        <w:t>2 </w:t>
      </w:r>
      <w:r>
        <w:rPr>
          <w:position w:val="2"/>
          <w:sz w:val="22"/>
        </w:rPr>
        <w:t>should be obtained from a representative sampling</w:t>
      </w:r>
      <w:r>
        <w:rPr>
          <w:sz w:val="22"/>
        </w:rPr>
        <w:t> point downstream of the EGC</w:t>
      </w:r>
      <w:r>
        <w:rPr>
          <w:spacing w:val="-4"/>
          <w:sz w:val="22"/>
        </w:rPr>
        <w:t> </w:t>
      </w:r>
      <w:r>
        <w:rPr>
          <w:sz w:val="22"/>
        </w:rPr>
        <w:t>unit.</w:t>
      </w:r>
    </w:p>
    <w:p>
      <w:pPr>
        <w:spacing w:after="0" w:line="237" w:lineRule="auto"/>
        <w:jc w:val="both"/>
        <w:rPr>
          <w:sz w:val="22"/>
        </w:rPr>
        <w:sectPr>
          <w:pgSz w:w="11910" w:h="16840"/>
          <w:pgMar w:header="856" w:footer="865" w:top="1540" w:bottom="1000" w:left="1100" w:right="1000"/>
        </w:sectPr>
      </w:pPr>
    </w:p>
    <w:p>
      <w:pPr>
        <w:pStyle w:val="ListParagraph"/>
        <w:numPr>
          <w:ilvl w:val="1"/>
          <w:numId w:val="2"/>
        </w:numPr>
        <w:tabs>
          <w:tab w:pos="1171" w:val="left" w:leader="none"/>
        </w:tabs>
        <w:spacing w:line="240" w:lineRule="auto" w:before="88" w:after="0"/>
        <w:ind w:left="1170" w:right="0" w:hanging="853"/>
        <w:jc w:val="both"/>
        <w:rPr>
          <w:sz w:val="22"/>
        </w:rPr>
      </w:pPr>
      <w:r>
        <w:rPr>
          <w:position w:val="2"/>
          <w:sz w:val="22"/>
        </w:rPr>
        <w:t>SO</w:t>
      </w:r>
      <w:r>
        <w:rPr>
          <w:sz w:val="14"/>
        </w:rPr>
        <w:t>2 </w:t>
      </w:r>
      <w:r>
        <w:rPr>
          <w:position w:val="2"/>
          <w:sz w:val="22"/>
        </w:rPr>
        <w:t>and CO</w:t>
      </w:r>
      <w:r>
        <w:rPr>
          <w:sz w:val="14"/>
        </w:rPr>
        <w:t>2 </w:t>
      </w:r>
      <w:r>
        <w:rPr>
          <w:position w:val="2"/>
          <w:sz w:val="22"/>
        </w:rPr>
        <w:t>should be monitored using either in situ or extractive sample</w:t>
      </w:r>
      <w:r>
        <w:rPr>
          <w:spacing w:val="32"/>
          <w:position w:val="2"/>
          <w:sz w:val="22"/>
        </w:rPr>
        <w:t> </w:t>
      </w:r>
      <w:r>
        <w:rPr>
          <w:position w:val="2"/>
          <w:sz w:val="22"/>
        </w:rPr>
        <w:t>systems.</w:t>
      </w:r>
    </w:p>
    <w:p>
      <w:pPr>
        <w:pStyle w:val="BodyText"/>
        <w:spacing w:before="9"/>
        <w:rPr>
          <w:sz w:val="21"/>
        </w:rPr>
      </w:pPr>
    </w:p>
    <w:p>
      <w:pPr>
        <w:pStyle w:val="ListParagraph"/>
        <w:numPr>
          <w:ilvl w:val="1"/>
          <w:numId w:val="2"/>
        </w:numPr>
        <w:tabs>
          <w:tab w:pos="1171" w:val="left" w:leader="none"/>
        </w:tabs>
        <w:spacing w:line="240" w:lineRule="auto" w:before="0" w:after="0"/>
        <w:ind w:left="318" w:right="413" w:firstLine="0"/>
        <w:jc w:val="both"/>
        <w:rPr>
          <w:sz w:val="22"/>
        </w:rPr>
      </w:pPr>
      <w:r>
        <w:rPr>
          <w:position w:val="2"/>
          <w:sz w:val="22"/>
        </w:rPr>
        <w:t>Extractive exhaust gas samples for SO</w:t>
      </w:r>
      <w:r>
        <w:rPr>
          <w:sz w:val="14"/>
        </w:rPr>
        <w:t>2 </w:t>
      </w:r>
      <w:r>
        <w:rPr>
          <w:position w:val="2"/>
          <w:sz w:val="22"/>
        </w:rPr>
        <w:t>determination should be maintained at a</w:t>
      </w:r>
      <w:r>
        <w:rPr>
          <w:sz w:val="22"/>
        </w:rPr>
        <w:t> sufficient temperature to avoid condensed water in the sampling system and hence loss of</w:t>
      </w:r>
      <w:r>
        <w:rPr>
          <w:position w:val="2"/>
          <w:sz w:val="22"/>
        </w:rPr>
        <w:t> SO</w:t>
      </w:r>
      <w:r>
        <w:rPr>
          <w:sz w:val="14"/>
        </w:rPr>
        <w:t>2</w:t>
      </w:r>
      <w:r>
        <w:rPr>
          <w:position w:val="2"/>
          <w:sz w:val="22"/>
        </w:rPr>
        <w:t>.</w:t>
      </w:r>
    </w:p>
    <w:p>
      <w:pPr>
        <w:pStyle w:val="BodyText"/>
        <w:spacing w:before="7"/>
        <w:rPr>
          <w:sz w:val="21"/>
        </w:rPr>
      </w:pPr>
    </w:p>
    <w:p>
      <w:pPr>
        <w:pStyle w:val="ListParagraph"/>
        <w:numPr>
          <w:ilvl w:val="1"/>
          <w:numId w:val="2"/>
        </w:numPr>
        <w:tabs>
          <w:tab w:pos="1171" w:val="left" w:leader="none"/>
        </w:tabs>
        <w:spacing w:line="240" w:lineRule="auto" w:before="0" w:after="0"/>
        <w:ind w:left="318" w:right="413" w:firstLine="0"/>
        <w:jc w:val="both"/>
        <w:rPr>
          <w:sz w:val="22"/>
        </w:rPr>
      </w:pPr>
      <w:r>
        <w:rPr>
          <w:sz w:val="22"/>
        </w:rPr>
        <w:t>If an extractive exhaust gas sample for determination needs to be dried prior to</w:t>
      </w:r>
      <w:r>
        <w:rPr>
          <w:position w:val="2"/>
          <w:sz w:val="22"/>
        </w:rPr>
        <w:t> analysis it should be done in a manner that does not result in loss of SO</w:t>
      </w:r>
      <w:r>
        <w:rPr>
          <w:sz w:val="14"/>
        </w:rPr>
        <w:t>2 </w:t>
      </w:r>
      <w:r>
        <w:rPr>
          <w:position w:val="2"/>
          <w:sz w:val="22"/>
        </w:rPr>
        <w:t>in the sample as</w:t>
      </w:r>
      <w:r>
        <w:rPr>
          <w:sz w:val="22"/>
        </w:rPr>
        <w:t> analysed.</w:t>
      </w:r>
    </w:p>
    <w:p>
      <w:pPr>
        <w:pStyle w:val="BodyText"/>
        <w:spacing w:before="6"/>
        <w:rPr>
          <w:sz w:val="21"/>
        </w:rPr>
      </w:pPr>
    </w:p>
    <w:p>
      <w:pPr>
        <w:pStyle w:val="ListParagraph"/>
        <w:numPr>
          <w:ilvl w:val="1"/>
          <w:numId w:val="2"/>
        </w:numPr>
        <w:tabs>
          <w:tab w:pos="1171" w:val="left" w:leader="none"/>
        </w:tabs>
        <w:spacing w:line="240" w:lineRule="auto" w:before="0" w:after="0"/>
        <w:ind w:left="318" w:right="413" w:firstLine="0"/>
        <w:jc w:val="both"/>
        <w:rPr>
          <w:sz w:val="22"/>
        </w:rPr>
      </w:pPr>
      <w:r>
        <w:rPr>
          <w:position w:val="2"/>
          <w:sz w:val="22"/>
        </w:rPr>
        <w:t>The SO</w:t>
      </w:r>
      <w:r>
        <w:rPr>
          <w:sz w:val="14"/>
        </w:rPr>
        <w:t>2 </w:t>
      </w:r>
      <w:r>
        <w:rPr>
          <w:position w:val="2"/>
          <w:sz w:val="22"/>
        </w:rPr>
        <w:t>and CO</w:t>
      </w:r>
      <w:r>
        <w:rPr>
          <w:sz w:val="14"/>
        </w:rPr>
        <w:t>2 </w:t>
      </w:r>
      <w:r>
        <w:rPr>
          <w:position w:val="2"/>
          <w:sz w:val="22"/>
        </w:rPr>
        <w:t>values should be compared on the basis of the same residual</w:t>
      </w:r>
      <w:r>
        <w:rPr>
          <w:sz w:val="22"/>
        </w:rPr>
        <w:t> water content (e.g. dry or with the same wetness</w:t>
      </w:r>
      <w:r>
        <w:rPr>
          <w:spacing w:val="-7"/>
          <w:sz w:val="22"/>
        </w:rPr>
        <w:t> </w:t>
      </w:r>
      <w:r>
        <w:rPr>
          <w:sz w:val="22"/>
        </w:rPr>
        <w:t>fraction).</w:t>
      </w:r>
    </w:p>
    <w:p>
      <w:pPr>
        <w:pStyle w:val="BodyText"/>
        <w:spacing w:before="1"/>
      </w:pPr>
    </w:p>
    <w:p>
      <w:pPr>
        <w:pStyle w:val="ListParagraph"/>
        <w:numPr>
          <w:ilvl w:val="1"/>
          <w:numId w:val="2"/>
        </w:numPr>
        <w:tabs>
          <w:tab w:pos="1171" w:val="left" w:leader="none"/>
        </w:tabs>
        <w:spacing w:line="237" w:lineRule="auto" w:before="0" w:after="0"/>
        <w:ind w:left="318" w:right="411" w:firstLine="0"/>
        <w:jc w:val="both"/>
        <w:rPr>
          <w:sz w:val="22"/>
        </w:rPr>
      </w:pPr>
      <w:r>
        <w:rPr>
          <w:position w:val="2"/>
          <w:sz w:val="22"/>
        </w:rPr>
        <w:t>In justified cases where the CO</w:t>
      </w:r>
      <w:r>
        <w:rPr>
          <w:sz w:val="14"/>
        </w:rPr>
        <w:t>2 </w:t>
      </w:r>
      <w:r>
        <w:rPr>
          <w:position w:val="2"/>
          <w:sz w:val="22"/>
        </w:rPr>
        <w:t>concentration is reduced by the EGC unit, the CO</w:t>
      </w:r>
      <w:r>
        <w:rPr>
          <w:sz w:val="14"/>
        </w:rPr>
        <w:t>2 </w:t>
      </w:r>
      <w:r>
        <w:rPr>
          <w:sz w:val="22"/>
        </w:rPr>
        <w:t>concentration can be measured at the EGC unit inlet, provided that the correctness of such a</w:t>
      </w:r>
      <w:r>
        <w:rPr>
          <w:position w:val="2"/>
          <w:sz w:val="22"/>
        </w:rPr>
        <w:t> methodology can be clearly demonstrated. In such cases the SO</w:t>
      </w:r>
      <w:r>
        <w:rPr>
          <w:sz w:val="14"/>
        </w:rPr>
        <w:t>2 </w:t>
      </w:r>
      <w:r>
        <w:rPr>
          <w:position w:val="2"/>
          <w:sz w:val="22"/>
        </w:rPr>
        <w:t>and CO</w:t>
      </w:r>
      <w:r>
        <w:rPr>
          <w:sz w:val="14"/>
        </w:rPr>
        <w:t>2 </w:t>
      </w:r>
      <w:r>
        <w:rPr>
          <w:position w:val="2"/>
          <w:sz w:val="22"/>
        </w:rPr>
        <w:t>values should be</w:t>
      </w:r>
      <w:r>
        <w:rPr>
          <w:sz w:val="22"/>
        </w:rPr>
        <w:t> compared on a dry basis. If measured on a wet basis the water content in the exhaust gas stream at those points should also be determined in order to correct the readings to dry basis</w:t>
      </w:r>
      <w:r>
        <w:rPr>
          <w:position w:val="2"/>
          <w:sz w:val="22"/>
        </w:rPr>
        <w:t> values. For calculation of the CO</w:t>
      </w:r>
      <w:r>
        <w:rPr>
          <w:sz w:val="14"/>
        </w:rPr>
        <w:t>2 </w:t>
      </w:r>
      <w:r>
        <w:rPr>
          <w:position w:val="2"/>
          <w:sz w:val="22"/>
        </w:rPr>
        <w:t>value on a dry basis, the dry/wet correction factor may be calculated in accordance with paragraph 5.12.3.2.2 of the NO</w:t>
      </w:r>
      <w:r>
        <w:rPr>
          <w:sz w:val="14"/>
        </w:rPr>
        <w:t>X </w:t>
      </w:r>
      <w:r>
        <w:rPr>
          <w:position w:val="2"/>
          <w:sz w:val="22"/>
        </w:rPr>
        <w:t>Technical Code</w:t>
      </w:r>
      <w:r>
        <w:rPr>
          <w:spacing w:val="-30"/>
          <w:position w:val="2"/>
          <w:sz w:val="22"/>
        </w:rPr>
        <w:t> </w:t>
      </w:r>
      <w:r>
        <w:rPr>
          <w:position w:val="2"/>
          <w:sz w:val="22"/>
        </w:rPr>
        <w:t>2008.</w:t>
      </w:r>
    </w:p>
    <w:p>
      <w:pPr>
        <w:pStyle w:val="BodyText"/>
        <w:spacing w:before="2"/>
      </w:pPr>
    </w:p>
    <w:p>
      <w:pPr>
        <w:pStyle w:val="Heading1"/>
        <w:numPr>
          <w:ilvl w:val="0"/>
          <w:numId w:val="2"/>
        </w:numPr>
        <w:tabs>
          <w:tab w:pos="1170" w:val="left" w:leader="none"/>
          <w:tab w:pos="1171" w:val="left" w:leader="none"/>
        </w:tabs>
        <w:spacing w:line="240" w:lineRule="auto" w:before="0" w:after="0"/>
        <w:ind w:left="1170" w:right="0" w:hanging="853"/>
        <w:jc w:val="both"/>
      </w:pPr>
      <w:r>
        <w:rPr/>
        <w:t>DATA RECORDING </w:t>
      </w:r>
      <w:r>
        <w:rPr>
          <w:spacing w:val="-3"/>
        </w:rPr>
        <w:t>AND </w:t>
      </w:r>
      <w:r>
        <w:rPr/>
        <w:t>PROCESSING DEVICE</w:t>
      </w:r>
    </w:p>
    <w:p>
      <w:pPr>
        <w:pStyle w:val="BodyText"/>
        <w:spacing w:before="3"/>
        <w:rPr>
          <w:b/>
        </w:rPr>
      </w:pPr>
    </w:p>
    <w:p>
      <w:pPr>
        <w:pStyle w:val="ListParagraph"/>
        <w:numPr>
          <w:ilvl w:val="1"/>
          <w:numId w:val="2"/>
        </w:numPr>
        <w:tabs>
          <w:tab w:pos="1171" w:val="left" w:leader="none"/>
        </w:tabs>
        <w:spacing w:line="240" w:lineRule="auto" w:before="0" w:after="0"/>
        <w:ind w:left="318" w:right="413" w:firstLine="0"/>
        <w:jc w:val="both"/>
        <w:rPr>
          <w:sz w:val="22"/>
        </w:rPr>
      </w:pPr>
      <w:r>
        <w:rPr>
          <w:sz w:val="22"/>
        </w:rPr>
        <w:t>The recording and processing device should be of robust, tamper-proof design with read-only</w:t>
      </w:r>
      <w:r>
        <w:rPr>
          <w:spacing w:val="-3"/>
          <w:sz w:val="22"/>
        </w:rPr>
        <w:t> </w:t>
      </w:r>
      <w:r>
        <w:rPr>
          <w:sz w:val="22"/>
        </w:rPr>
        <w:t>capability.</w:t>
      </w:r>
    </w:p>
    <w:p>
      <w:pPr>
        <w:pStyle w:val="BodyText"/>
        <w:spacing w:before="11"/>
        <w:rPr>
          <w:sz w:val="21"/>
        </w:rPr>
      </w:pPr>
    </w:p>
    <w:p>
      <w:pPr>
        <w:pStyle w:val="ListParagraph"/>
        <w:numPr>
          <w:ilvl w:val="1"/>
          <w:numId w:val="2"/>
        </w:numPr>
        <w:tabs>
          <w:tab w:pos="1171" w:val="left" w:leader="none"/>
        </w:tabs>
        <w:spacing w:line="240" w:lineRule="auto" w:before="0" w:after="0"/>
        <w:ind w:left="318" w:right="414" w:firstLine="0"/>
        <w:jc w:val="both"/>
        <w:rPr>
          <w:sz w:val="22"/>
        </w:rPr>
      </w:pPr>
      <w:r>
        <w:rPr>
          <w:sz w:val="22"/>
        </w:rPr>
        <w:t>The recording and processing device should  record  the  data  required  by  sections 4.4.7, 5.4.2, and 10.3 against UTC and ships position by a Global Navigational Satellite System</w:t>
      </w:r>
      <w:r>
        <w:rPr>
          <w:spacing w:val="-2"/>
          <w:sz w:val="22"/>
        </w:rPr>
        <w:t> </w:t>
      </w:r>
      <w:r>
        <w:rPr>
          <w:sz w:val="22"/>
        </w:rPr>
        <w:t>(GNSS).</w:t>
      </w:r>
    </w:p>
    <w:p>
      <w:pPr>
        <w:pStyle w:val="BodyText"/>
      </w:pPr>
    </w:p>
    <w:p>
      <w:pPr>
        <w:pStyle w:val="ListParagraph"/>
        <w:numPr>
          <w:ilvl w:val="1"/>
          <w:numId w:val="2"/>
        </w:numPr>
        <w:tabs>
          <w:tab w:pos="1171" w:val="left" w:leader="none"/>
        </w:tabs>
        <w:spacing w:line="240" w:lineRule="auto" w:before="1" w:after="0"/>
        <w:ind w:left="318" w:right="418" w:firstLine="0"/>
        <w:jc w:val="both"/>
        <w:rPr>
          <w:sz w:val="22"/>
        </w:rPr>
      </w:pPr>
      <w:r>
        <w:rPr>
          <w:sz w:val="22"/>
        </w:rPr>
        <w:t>The recording and processing device should be capable of preparing reports over specified time</w:t>
      </w:r>
      <w:r>
        <w:rPr>
          <w:spacing w:val="-1"/>
          <w:sz w:val="22"/>
        </w:rPr>
        <w:t> </w:t>
      </w:r>
      <w:r>
        <w:rPr>
          <w:sz w:val="22"/>
        </w:rPr>
        <w:t>periods.</w:t>
      </w:r>
    </w:p>
    <w:p>
      <w:pPr>
        <w:pStyle w:val="BodyText"/>
        <w:spacing w:before="11"/>
        <w:rPr>
          <w:sz w:val="21"/>
        </w:rPr>
      </w:pPr>
    </w:p>
    <w:p>
      <w:pPr>
        <w:pStyle w:val="ListParagraph"/>
        <w:numPr>
          <w:ilvl w:val="1"/>
          <w:numId w:val="2"/>
        </w:numPr>
        <w:tabs>
          <w:tab w:pos="1171" w:val="left" w:leader="none"/>
        </w:tabs>
        <w:spacing w:line="240" w:lineRule="auto" w:before="0" w:after="0"/>
        <w:ind w:left="318" w:right="417" w:firstLine="0"/>
        <w:jc w:val="both"/>
        <w:rPr>
          <w:sz w:val="22"/>
        </w:rPr>
      </w:pPr>
      <w:r>
        <w:rPr>
          <w:sz w:val="22"/>
        </w:rPr>
        <w:t>Data should be retained for a period of not less than 18 months from the date of recording. If the unit is changed over that period, the shipowner should ensure that the required data is retained on board and available as</w:t>
      </w:r>
      <w:r>
        <w:rPr>
          <w:spacing w:val="-8"/>
          <w:sz w:val="22"/>
        </w:rPr>
        <w:t> </w:t>
      </w:r>
      <w:r>
        <w:rPr>
          <w:sz w:val="22"/>
        </w:rPr>
        <w:t>required.</w:t>
      </w:r>
    </w:p>
    <w:p>
      <w:pPr>
        <w:pStyle w:val="BodyText"/>
        <w:spacing w:before="10"/>
        <w:rPr>
          <w:sz w:val="21"/>
        </w:rPr>
      </w:pPr>
    </w:p>
    <w:p>
      <w:pPr>
        <w:pStyle w:val="ListParagraph"/>
        <w:numPr>
          <w:ilvl w:val="1"/>
          <w:numId w:val="2"/>
        </w:numPr>
        <w:tabs>
          <w:tab w:pos="1171" w:val="left" w:leader="none"/>
        </w:tabs>
        <w:spacing w:line="240" w:lineRule="auto" w:before="0" w:after="0"/>
        <w:ind w:left="318" w:right="418" w:firstLine="0"/>
        <w:jc w:val="both"/>
        <w:rPr>
          <w:sz w:val="22"/>
        </w:rPr>
      </w:pPr>
      <w:r>
        <w:rPr>
          <w:sz w:val="22"/>
        </w:rPr>
        <w:t>The device should be capable of downloading a copy of the recorded data and reports in a readily useable format. Such copy of the data and reports should be available to the Administration or port State authority as</w:t>
      </w:r>
      <w:r>
        <w:rPr>
          <w:spacing w:val="-7"/>
          <w:sz w:val="22"/>
        </w:rPr>
        <w:t> </w:t>
      </w:r>
      <w:r>
        <w:rPr>
          <w:sz w:val="22"/>
        </w:rPr>
        <w:t>requested.</w:t>
      </w:r>
    </w:p>
    <w:p>
      <w:pPr>
        <w:pStyle w:val="BodyText"/>
        <w:spacing w:before="10"/>
        <w:rPr>
          <w:sz w:val="21"/>
        </w:rPr>
      </w:pPr>
    </w:p>
    <w:p>
      <w:pPr>
        <w:pStyle w:val="Heading1"/>
        <w:numPr>
          <w:ilvl w:val="0"/>
          <w:numId w:val="2"/>
        </w:numPr>
        <w:tabs>
          <w:tab w:pos="1170" w:val="left" w:leader="none"/>
          <w:tab w:pos="1171" w:val="left" w:leader="none"/>
        </w:tabs>
        <w:spacing w:line="240" w:lineRule="auto" w:before="0" w:after="0"/>
        <w:ind w:left="1170" w:right="0" w:hanging="853"/>
        <w:jc w:val="both"/>
      </w:pPr>
      <w:r>
        <w:rPr/>
        <w:t>ONBOARD MONITORING MANUAL</w:t>
      </w:r>
      <w:r>
        <w:rPr>
          <w:spacing w:val="-2"/>
        </w:rPr>
        <w:t> </w:t>
      </w:r>
      <w:r>
        <w:rPr/>
        <w:t>(OMM)</w:t>
      </w:r>
    </w:p>
    <w:p>
      <w:pPr>
        <w:pStyle w:val="BodyText"/>
        <w:spacing w:before="3"/>
        <w:rPr>
          <w:b/>
        </w:rPr>
      </w:pPr>
    </w:p>
    <w:p>
      <w:pPr>
        <w:pStyle w:val="ListParagraph"/>
        <w:numPr>
          <w:ilvl w:val="1"/>
          <w:numId w:val="2"/>
        </w:numPr>
        <w:tabs>
          <w:tab w:pos="1171" w:val="left" w:leader="none"/>
        </w:tabs>
        <w:spacing w:line="240" w:lineRule="auto" w:before="0" w:after="0"/>
        <w:ind w:left="318" w:right="415" w:firstLine="0"/>
        <w:jc w:val="both"/>
        <w:rPr>
          <w:sz w:val="22"/>
        </w:rPr>
      </w:pPr>
      <w:r>
        <w:rPr>
          <w:sz w:val="22"/>
        </w:rPr>
        <w:t>An OMM should be prepared to cover each EGC unit installed in conjunction with fuel </w:t>
      </w:r>
      <w:r>
        <w:rPr>
          <w:spacing w:val="-3"/>
          <w:sz w:val="22"/>
        </w:rPr>
        <w:t>oil combustion equipment, which should </w:t>
      </w:r>
      <w:r>
        <w:rPr>
          <w:sz w:val="22"/>
        </w:rPr>
        <w:t>be </w:t>
      </w:r>
      <w:r>
        <w:rPr>
          <w:spacing w:val="-3"/>
          <w:sz w:val="22"/>
        </w:rPr>
        <w:t>identified, </w:t>
      </w:r>
      <w:r>
        <w:rPr>
          <w:sz w:val="22"/>
        </w:rPr>
        <w:t>for </w:t>
      </w:r>
      <w:r>
        <w:rPr>
          <w:spacing w:val="-3"/>
          <w:sz w:val="22"/>
        </w:rPr>
        <w:t>which compliance </w:t>
      </w:r>
      <w:r>
        <w:rPr>
          <w:sz w:val="22"/>
        </w:rPr>
        <w:t>is to be </w:t>
      </w:r>
      <w:r>
        <w:rPr>
          <w:spacing w:val="-3"/>
          <w:sz w:val="22"/>
        </w:rPr>
        <w:t>demonstrated.</w:t>
      </w:r>
    </w:p>
    <w:p>
      <w:pPr>
        <w:pStyle w:val="BodyText"/>
        <w:spacing w:before="10"/>
        <w:rPr>
          <w:sz w:val="21"/>
        </w:rPr>
      </w:pPr>
    </w:p>
    <w:p>
      <w:pPr>
        <w:pStyle w:val="ListParagraph"/>
        <w:numPr>
          <w:ilvl w:val="1"/>
          <w:numId w:val="2"/>
        </w:numPr>
        <w:tabs>
          <w:tab w:pos="1171" w:val="left" w:leader="none"/>
        </w:tabs>
        <w:spacing w:line="240" w:lineRule="auto" w:before="0" w:after="0"/>
        <w:ind w:left="1170" w:right="0" w:hanging="853"/>
        <w:jc w:val="both"/>
        <w:rPr>
          <w:sz w:val="22"/>
        </w:rPr>
      </w:pPr>
      <w:r>
        <w:rPr>
          <w:sz w:val="22"/>
        </w:rPr>
        <w:t>The OMM should, as a minimum,</w:t>
      </w:r>
      <w:r>
        <w:rPr>
          <w:spacing w:val="-4"/>
          <w:sz w:val="22"/>
        </w:rPr>
        <w:t> </w:t>
      </w:r>
      <w:r>
        <w:rPr>
          <w:sz w:val="22"/>
        </w:rPr>
        <w:t>include:</w:t>
      </w:r>
    </w:p>
    <w:p>
      <w:pPr>
        <w:pStyle w:val="BodyText"/>
        <w:spacing w:before="1"/>
      </w:pPr>
    </w:p>
    <w:p>
      <w:pPr>
        <w:pStyle w:val="ListParagraph"/>
        <w:numPr>
          <w:ilvl w:val="0"/>
          <w:numId w:val="7"/>
        </w:numPr>
        <w:tabs>
          <w:tab w:pos="2020" w:val="left" w:leader="none"/>
          <w:tab w:pos="2021" w:val="left" w:leader="none"/>
        </w:tabs>
        <w:spacing w:line="240" w:lineRule="auto" w:before="0" w:after="0"/>
        <w:ind w:left="2020" w:right="415" w:hanging="850"/>
        <w:jc w:val="both"/>
        <w:rPr>
          <w:sz w:val="22"/>
        </w:rPr>
      </w:pPr>
      <w:r>
        <w:rPr>
          <w:sz w:val="22"/>
        </w:rPr>
        <w:t>the sensors to be used in evaluating EGC system performance and washwater monitoring, their service, maintenance and calibration requirements;</w:t>
      </w:r>
    </w:p>
    <w:p>
      <w:pPr>
        <w:spacing w:after="0" w:line="240" w:lineRule="auto"/>
        <w:jc w:val="both"/>
        <w:rPr>
          <w:sz w:val="22"/>
        </w:rPr>
        <w:sectPr>
          <w:pgSz w:w="11910" w:h="16840"/>
          <w:pgMar w:header="856" w:footer="805" w:top="1540" w:bottom="1060" w:left="1100" w:right="1000"/>
        </w:sectPr>
      </w:pPr>
    </w:p>
    <w:p>
      <w:pPr>
        <w:pStyle w:val="ListParagraph"/>
        <w:numPr>
          <w:ilvl w:val="0"/>
          <w:numId w:val="7"/>
        </w:numPr>
        <w:tabs>
          <w:tab w:pos="2020" w:val="left" w:leader="none"/>
          <w:tab w:pos="2021" w:val="left" w:leader="none"/>
        </w:tabs>
        <w:spacing w:line="240" w:lineRule="auto" w:before="89" w:after="0"/>
        <w:ind w:left="2020" w:right="417" w:hanging="850"/>
        <w:jc w:val="both"/>
        <w:rPr>
          <w:sz w:val="22"/>
        </w:rPr>
      </w:pPr>
      <w:r>
        <w:rPr>
          <w:sz w:val="22"/>
        </w:rPr>
        <w:t>the positions from which exhaust emission measurements and washwater monitoring are to be taken together with details of any necessary ancillary services such as sample transfer lines and sample treatment units and any related service or maintenance</w:t>
      </w:r>
      <w:r>
        <w:rPr>
          <w:spacing w:val="-2"/>
          <w:sz w:val="22"/>
        </w:rPr>
        <w:t> </w:t>
      </w:r>
      <w:r>
        <w:rPr>
          <w:sz w:val="22"/>
        </w:rPr>
        <w:t>requirements;</w:t>
      </w:r>
    </w:p>
    <w:p>
      <w:pPr>
        <w:pStyle w:val="ListParagraph"/>
        <w:numPr>
          <w:ilvl w:val="0"/>
          <w:numId w:val="7"/>
        </w:numPr>
        <w:tabs>
          <w:tab w:pos="2020" w:val="left" w:leader="none"/>
          <w:tab w:pos="2021" w:val="left" w:leader="none"/>
        </w:tabs>
        <w:spacing w:line="240" w:lineRule="auto" w:before="207" w:after="0"/>
        <w:ind w:left="2020" w:right="416" w:hanging="850"/>
        <w:jc w:val="both"/>
        <w:rPr>
          <w:sz w:val="22"/>
        </w:rPr>
      </w:pPr>
      <w:r>
        <w:rPr>
          <w:sz w:val="22"/>
        </w:rPr>
        <w:t>the analysers to be used, their service, maintenance, and calibration requirements;</w:t>
      </w:r>
    </w:p>
    <w:p>
      <w:pPr>
        <w:pStyle w:val="ListParagraph"/>
        <w:numPr>
          <w:ilvl w:val="0"/>
          <w:numId w:val="7"/>
        </w:numPr>
        <w:tabs>
          <w:tab w:pos="2020" w:val="left" w:leader="none"/>
          <w:tab w:pos="2021" w:val="left" w:leader="none"/>
        </w:tabs>
        <w:spacing w:line="240" w:lineRule="auto" w:before="207" w:after="0"/>
        <w:ind w:left="2020" w:right="0" w:hanging="851"/>
        <w:jc w:val="left"/>
        <w:rPr>
          <w:sz w:val="22"/>
        </w:rPr>
      </w:pPr>
      <w:r>
        <w:rPr>
          <w:sz w:val="22"/>
        </w:rPr>
        <w:t>analyser zero and span check procedures;</w:t>
      </w:r>
      <w:r>
        <w:rPr>
          <w:spacing w:val="1"/>
          <w:sz w:val="22"/>
        </w:rPr>
        <w:t> </w:t>
      </w:r>
      <w:r>
        <w:rPr>
          <w:sz w:val="22"/>
        </w:rPr>
        <w:t>and</w:t>
      </w:r>
    </w:p>
    <w:p>
      <w:pPr>
        <w:pStyle w:val="ListParagraph"/>
        <w:numPr>
          <w:ilvl w:val="0"/>
          <w:numId w:val="7"/>
        </w:numPr>
        <w:tabs>
          <w:tab w:pos="2020" w:val="left" w:leader="none"/>
          <w:tab w:pos="2021" w:val="left" w:leader="none"/>
        </w:tabs>
        <w:spacing w:line="240" w:lineRule="auto" w:before="208" w:after="0"/>
        <w:ind w:left="2020" w:right="418" w:hanging="850"/>
        <w:jc w:val="both"/>
        <w:rPr>
          <w:sz w:val="22"/>
        </w:rPr>
      </w:pPr>
      <w:r>
        <w:rPr>
          <w:sz w:val="22"/>
        </w:rPr>
        <w:t>other information or data relevant to the correct functioning of the monitoring systems or its use in demonstrating</w:t>
      </w:r>
      <w:r>
        <w:rPr>
          <w:spacing w:val="-6"/>
          <w:sz w:val="22"/>
        </w:rPr>
        <w:t> </w:t>
      </w:r>
      <w:r>
        <w:rPr>
          <w:sz w:val="22"/>
        </w:rPr>
        <w:t>compliance.</w:t>
      </w:r>
    </w:p>
    <w:p>
      <w:pPr>
        <w:pStyle w:val="ListParagraph"/>
        <w:numPr>
          <w:ilvl w:val="1"/>
          <w:numId w:val="2"/>
        </w:numPr>
        <w:tabs>
          <w:tab w:pos="1170" w:val="left" w:leader="none"/>
          <w:tab w:pos="1171" w:val="left" w:leader="none"/>
        </w:tabs>
        <w:spacing w:line="240" w:lineRule="auto" w:before="207" w:after="0"/>
        <w:ind w:left="1170" w:right="0" w:hanging="853"/>
        <w:jc w:val="left"/>
        <w:rPr>
          <w:sz w:val="22"/>
        </w:rPr>
      </w:pPr>
      <w:r>
        <w:rPr>
          <w:sz w:val="22"/>
        </w:rPr>
        <w:t>The OMM should specify how the monitoring is to be</w:t>
      </w:r>
      <w:r>
        <w:rPr>
          <w:spacing w:val="-17"/>
          <w:sz w:val="22"/>
        </w:rPr>
        <w:t> </w:t>
      </w:r>
      <w:r>
        <w:rPr>
          <w:sz w:val="22"/>
        </w:rPr>
        <w:t>surveyed.</w:t>
      </w:r>
    </w:p>
    <w:p>
      <w:pPr>
        <w:pStyle w:val="ListParagraph"/>
        <w:numPr>
          <w:ilvl w:val="1"/>
          <w:numId w:val="2"/>
        </w:numPr>
        <w:tabs>
          <w:tab w:pos="1170" w:val="left" w:leader="none"/>
          <w:tab w:pos="1171" w:val="left" w:leader="none"/>
        </w:tabs>
        <w:spacing w:line="240" w:lineRule="auto" w:before="208" w:after="0"/>
        <w:ind w:left="1170" w:right="0" w:hanging="853"/>
        <w:jc w:val="left"/>
        <w:rPr>
          <w:sz w:val="22"/>
        </w:rPr>
      </w:pPr>
      <w:r>
        <w:rPr>
          <w:sz w:val="22"/>
        </w:rPr>
        <w:t>The OMM should be approved by the</w:t>
      </w:r>
      <w:r>
        <w:rPr>
          <w:spacing w:val="-8"/>
          <w:sz w:val="22"/>
        </w:rPr>
        <w:t> </w:t>
      </w:r>
      <w:r>
        <w:rPr>
          <w:sz w:val="22"/>
        </w:rPr>
        <w:t>Administration.</w:t>
      </w:r>
    </w:p>
    <w:p>
      <w:pPr>
        <w:pStyle w:val="Heading1"/>
        <w:numPr>
          <w:ilvl w:val="0"/>
          <w:numId w:val="2"/>
        </w:numPr>
        <w:tabs>
          <w:tab w:pos="1170" w:val="left" w:leader="none"/>
          <w:tab w:pos="1171" w:val="left" w:leader="none"/>
        </w:tabs>
        <w:spacing w:line="240" w:lineRule="auto" w:before="203" w:after="0"/>
        <w:ind w:left="1170" w:right="0" w:hanging="853"/>
        <w:jc w:val="left"/>
      </w:pPr>
      <w:r>
        <w:rPr/>
        <w:t>SHIP</w:t>
      </w:r>
      <w:r>
        <w:rPr>
          <w:spacing w:val="-1"/>
        </w:rPr>
        <w:t> </w:t>
      </w:r>
      <w:r>
        <w:rPr/>
        <w:t>COMPLIANCE</w:t>
      </w:r>
    </w:p>
    <w:p>
      <w:pPr>
        <w:pStyle w:val="ListParagraph"/>
        <w:numPr>
          <w:ilvl w:val="1"/>
          <w:numId w:val="2"/>
        </w:numPr>
        <w:tabs>
          <w:tab w:pos="1170" w:val="left" w:leader="none"/>
          <w:tab w:pos="1171" w:val="left" w:leader="none"/>
        </w:tabs>
        <w:spacing w:line="240" w:lineRule="auto" w:before="207" w:after="0"/>
        <w:ind w:left="1170" w:right="0" w:hanging="853"/>
        <w:jc w:val="left"/>
        <w:rPr>
          <w:b/>
          <w:sz w:val="22"/>
        </w:rPr>
      </w:pPr>
      <w:r>
        <w:rPr>
          <w:b/>
          <w:position w:val="2"/>
          <w:sz w:val="22"/>
        </w:rPr>
        <w:t>SO</w:t>
      </w:r>
      <w:r>
        <w:rPr>
          <w:b/>
          <w:sz w:val="14"/>
        </w:rPr>
        <w:t>X </w:t>
      </w:r>
      <w:r>
        <w:rPr>
          <w:b/>
          <w:position w:val="2"/>
          <w:sz w:val="22"/>
        </w:rPr>
        <w:t>Emissions Compliance Plan</w:t>
      </w:r>
      <w:r>
        <w:rPr>
          <w:b/>
          <w:spacing w:val="-19"/>
          <w:position w:val="2"/>
          <w:sz w:val="22"/>
        </w:rPr>
        <w:t> </w:t>
      </w:r>
      <w:r>
        <w:rPr>
          <w:b/>
          <w:position w:val="2"/>
          <w:sz w:val="22"/>
        </w:rPr>
        <w:t>(SECP)</w:t>
      </w:r>
    </w:p>
    <w:p>
      <w:pPr>
        <w:pStyle w:val="ListParagraph"/>
        <w:numPr>
          <w:ilvl w:val="2"/>
          <w:numId w:val="2"/>
        </w:numPr>
        <w:tabs>
          <w:tab w:pos="1171" w:val="left" w:leader="none"/>
        </w:tabs>
        <w:spacing w:line="240" w:lineRule="auto" w:before="208" w:after="0"/>
        <w:ind w:left="318" w:right="417" w:firstLine="0"/>
        <w:jc w:val="both"/>
        <w:rPr>
          <w:sz w:val="22"/>
        </w:rPr>
      </w:pPr>
      <w:r>
        <w:rPr>
          <w:sz w:val="22"/>
        </w:rPr>
        <w:t>For all ships which are to use an EGC unit, in part or in total, in order to comply with the requirements of regulations 14.1 and 14.4 of MARPOL Annex VI there should be an SECP for the ship, approved by the</w:t>
      </w:r>
      <w:r>
        <w:rPr>
          <w:spacing w:val="-6"/>
          <w:sz w:val="22"/>
        </w:rPr>
        <w:t> </w:t>
      </w:r>
      <w:r>
        <w:rPr>
          <w:sz w:val="22"/>
        </w:rPr>
        <w:t>Administration.</w:t>
      </w:r>
    </w:p>
    <w:p>
      <w:pPr>
        <w:pStyle w:val="ListParagraph"/>
        <w:numPr>
          <w:ilvl w:val="2"/>
          <w:numId w:val="2"/>
        </w:numPr>
        <w:tabs>
          <w:tab w:pos="1171" w:val="left" w:leader="none"/>
        </w:tabs>
        <w:spacing w:line="240" w:lineRule="auto" w:before="206" w:after="0"/>
        <w:ind w:left="318" w:right="415" w:firstLine="0"/>
        <w:jc w:val="both"/>
        <w:rPr>
          <w:sz w:val="22"/>
        </w:rPr>
      </w:pPr>
      <w:r>
        <w:rPr>
          <w:sz w:val="22"/>
        </w:rPr>
        <w:t>The SECP should list each item of fuel oil combustion equipment which is to meet the requirements for operating in accordance with the requirements of regulations 14.1 and/or 14.4 of MARPOL Annex</w:t>
      </w:r>
      <w:r>
        <w:rPr>
          <w:spacing w:val="-4"/>
          <w:sz w:val="22"/>
        </w:rPr>
        <w:t> </w:t>
      </w:r>
      <w:r>
        <w:rPr>
          <w:sz w:val="22"/>
        </w:rPr>
        <w:t>VI.</w:t>
      </w:r>
    </w:p>
    <w:p>
      <w:pPr>
        <w:pStyle w:val="ListParagraph"/>
        <w:numPr>
          <w:ilvl w:val="2"/>
          <w:numId w:val="2"/>
        </w:numPr>
        <w:tabs>
          <w:tab w:pos="1171" w:val="left" w:leader="none"/>
        </w:tabs>
        <w:spacing w:line="240" w:lineRule="auto" w:before="206" w:after="0"/>
        <w:ind w:left="318" w:right="412" w:firstLine="0"/>
        <w:jc w:val="both"/>
        <w:rPr>
          <w:sz w:val="22"/>
        </w:rPr>
      </w:pPr>
      <w:r>
        <w:rPr>
          <w:sz w:val="22"/>
        </w:rPr>
        <w:t>Under Scheme A, the SECP should present how continuous monitoring data will demonstrate that the parameters in paragraph 4.4.7 are maintained within the manufacturer's recommended specifications. Under Scheme B, this would be demonstrated using daily recordings of key</w:t>
      </w:r>
      <w:r>
        <w:rPr>
          <w:spacing w:val="-6"/>
          <w:sz w:val="22"/>
        </w:rPr>
        <w:t> </w:t>
      </w:r>
      <w:r>
        <w:rPr>
          <w:sz w:val="22"/>
        </w:rPr>
        <w:t>parameters.</w:t>
      </w:r>
    </w:p>
    <w:p>
      <w:pPr>
        <w:pStyle w:val="ListParagraph"/>
        <w:numPr>
          <w:ilvl w:val="2"/>
          <w:numId w:val="2"/>
        </w:numPr>
        <w:tabs>
          <w:tab w:pos="1171" w:val="left" w:leader="none"/>
        </w:tabs>
        <w:spacing w:line="240" w:lineRule="auto" w:before="208" w:after="0"/>
        <w:ind w:left="318" w:right="411" w:firstLine="0"/>
        <w:jc w:val="both"/>
        <w:rPr>
          <w:sz w:val="22"/>
        </w:rPr>
      </w:pPr>
      <w:r>
        <w:rPr>
          <w:sz w:val="22"/>
        </w:rPr>
        <w:t>Under Scheme B, the SECP should present how continuous exhaust gas emissions</w:t>
      </w:r>
      <w:r>
        <w:rPr>
          <w:position w:val="2"/>
          <w:sz w:val="22"/>
        </w:rPr>
        <w:t> monitoring will demonstrate that the ship total SO</w:t>
      </w:r>
      <w:r>
        <w:rPr>
          <w:sz w:val="14"/>
        </w:rPr>
        <w:t>2</w:t>
      </w:r>
      <w:r>
        <w:rPr>
          <w:position w:val="2"/>
          <w:sz w:val="22"/>
        </w:rPr>
        <w:t>(ppm)/CO</w:t>
      </w:r>
      <w:r>
        <w:rPr>
          <w:sz w:val="14"/>
        </w:rPr>
        <w:t>2</w:t>
      </w:r>
      <w:r>
        <w:rPr>
          <w:position w:val="2"/>
          <w:sz w:val="22"/>
        </w:rPr>
        <w:t>(%) ratio is comparable to the</w:t>
      </w:r>
      <w:r>
        <w:rPr>
          <w:sz w:val="22"/>
        </w:rPr>
        <w:t> requirements of regulation 14.1 and/or 14.4 of MARPOL Annex VI or below as prescribed in paragraph 1.3. Under Scheme A, this would be demonstrated using daily exhaust gas emission</w:t>
      </w:r>
      <w:r>
        <w:rPr>
          <w:spacing w:val="-1"/>
          <w:sz w:val="22"/>
        </w:rPr>
        <w:t> </w:t>
      </w:r>
      <w:r>
        <w:rPr>
          <w:sz w:val="22"/>
        </w:rPr>
        <w:t>recordings.</w:t>
      </w:r>
    </w:p>
    <w:p>
      <w:pPr>
        <w:pStyle w:val="ListParagraph"/>
        <w:numPr>
          <w:ilvl w:val="2"/>
          <w:numId w:val="2"/>
        </w:numPr>
        <w:tabs>
          <w:tab w:pos="1171" w:val="left" w:leader="none"/>
        </w:tabs>
        <w:spacing w:line="240" w:lineRule="auto" w:before="205" w:after="0"/>
        <w:ind w:left="318" w:right="413" w:firstLine="0"/>
        <w:jc w:val="both"/>
        <w:rPr>
          <w:sz w:val="22"/>
        </w:rPr>
      </w:pPr>
      <w:r>
        <w:rPr>
          <w:sz w:val="22"/>
        </w:rPr>
        <w:t>There may be some equipment such as small engines and boilers to which the fitting of EGC units would not be practical, particularly where such equipment is located in a position remote from the main machinery spaces. All such fuel oil combustion units should be listed in the SECP. For these fuel oil combustion units which are not to be fitted with EGC units, compliance may be achieved by means of regulations 14.1 and/or 14.4 of MARPOL Annex</w:t>
      </w:r>
      <w:r>
        <w:rPr>
          <w:spacing w:val="-2"/>
          <w:sz w:val="22"/>
        </w:rPr>
        <w:t> </w:t>
      </w:r>
      <w:r>
        <w:rPr>
          <w:sz w:val="22"/>
        </w:rPr>
        <w:t>VI.</w:t>
      </w:r>
    </w:p>
    <w:p>
      <w:pPr>
        <w:pStyle w:val="Heading1"/>
        <w:numPr>
          <w:ilvl w:val="1"/>
          <w:numId w:val="2"/>
        </w:numPr>
        <w:tabs>
          <w:tab w:pos="1170" w:val="left" w:leader="none"/>
          <w:tab w:pos="1171" w:val="left" w:leader="none"/>
        </w:tabs>
        <w:spacing w:line="240" w:lineRule="auto" w:before="203" w:after="0"/>
        <w:ind w:left="1170" w:right="0" w:hanging="853"/>
        <w:jc w:val="left"/>
      </w:pPr>
      <w:r>
        <w:rPr/>
        <w:t>Demonstration of</w:t>
      </w:r>
      <w:r>
        <w:rPr>
          <w:spacing w:val="-4"/>
        </w:rPr>
        <w:t> </w:t>
      </w:r>
      <w:r>
        <w:rPr/>
        <w:t>compliance</w:t>
      </w:r>
    </w:p>
    <w:p>
      <w:pPr>
        <w:pStyle w:val="Heading2"/>
        <w:numPr>
          <w:ilvl w:val="2"/>
          <w:numId w:val="2"/>
        </w:numPr>
        <w:tabs>
          <w:tab w:pos="1170" w:val="left" w:leader="none"/>
          <w:tab w:pos="1171" w:val="left" w:leader="none"/>
        </w:tabs>
        <w:spacing w:line="240" w:lineRule="auto" w:before="211" w:after="0"/>
        <w:ind w:left="1170" w:right="0" w:hanging="853"/>
        <w:jc w:val="left"/>
        <w:rPr>
          <w:i/>
        </w:rPr>
      </w:pPr>
      <w:r>
        <w:rPr>
          <w:i/>
        </w:rPr>
        <w:t>Scheme A</w:t>
      </w:r>
    </w:p>
    <w:p>
      <w:pPr>
        <w:pStyle w:val="ListParagraph"/>
        <w:numPr>
          <w:ilvl w:val="3"/>
          <w:numId w:val="8"/>
        </w:numPr>
        <w:tabs>
          <w:tab w:pos="1159" w:val="left" w:leader="none"/>
        </w:tabs>
        <w:spacing w:line="240" w:lineRule="auto" w:before="208" w:after="0"/>
        <w:ind w:left="318" w:right="411" w:firstLine="0"/>
        <w:jc w:val="both"/>
        <w:rPr>
          <w:sz w:val="22"/>
        </w:rPr>
      </w:pPr>
      <w:r>
        <w:rPr>
          <w:sz w:val="22"/>
        </w:rPr>
        <w:t>The SECP should refer to, not reproduce, the ETM-A, EGC Record Book or Engine-Room logger system and OMM as specified under Scheme A. It should be noted that as an alternative, the maintenance records may be recorded in the ship's planned maintenance record system, as allowed by the</w:t>
      </w:r>
      <w:r>
        <w:rPr>
          <w:spacing w:val="-5"/>
          <w:sz w:val="22"/>
        </w:rPr>
        <w:t> </w:t>
      </w:r>
      <w:r>
        <w:rPr>
          <w:sz w:val="22"/>
        </w:rPr>
        <w:t>Administration.</w:t>
      </w:r>
    </w:p>
    <w:p>
      <w:pPr>
        <w:spacing w:after="0" w:line="240" w:lineRule="auto"/>
        <w:jc w:val="both"/>
        <w:rPr>
          <w:sz w:val="22"/>
        </w:rPr>
        <w:sectPr>
          <w:pgSz w:w="11910" w:h="16840"/>
          <w:pgMar w:header="856" w:footer="865" w:top="1540" w:bottom="1000" w:left="1100" w:right="1000"/>
        </w:sectPr>
      </w:pPr>
    </w:p>
    <w:p>
      <w:pPr>
        <w:pStyle w:val="ListParagraph"/>
        <w:numPr>
          <w:ilvl w:val="3"/>
          <w:numId w:val="8"/>
        </w:numPr>
        <w:tabs>
          <w:tab w:pos="1159" w:val="left" w:leader="none"/>
        </w:tabs>
        <w:spacing w:line="240" w:lineRule="auto" w:before="89" w:after="0"/>
        <w:ind w:left="318" w:right="413" w:firstLine="0"/>
        <w:jc w:val="both"/>
        <w:rPr>
          <w:sz w:val="22"/>
        </w:rPr>
      </w:pPr>
      <w:r>
        <w:rPr>
          <w:sz w:val="22"/>
        </w:rPr>
        <w:t>For all fuel oil combustion equipment listed under paragraph 9.1.2, details should be provided demonstrating that the rating and restrictions for the EGC unit as approved, paragraph 4.2.2.1.2, are complied</w:t>
      </w:r>
      <w:r>
        <w:rPr>
          <w:spacing w:val="-7"/>
          <w:sz w:val="22"/>
        </w:rPr>
        <w:t> </w:t>
      </w:r>
      <w:r>
        <w:rPr>
          <w:sz w:val="22"/>
        </w:rPr>
        <w:t>with.</w:t>
      </w:r>
    </w:p>
    <w:p>
      <w:pPr>
        <w:pStyle w:val="BodyText"/>
        <w:spacing w:before="1"/>
      </w:pPr>
    </w:p>
    <w:p>
      <w:pPr>
        <w:pStyle w:val="ListParagraph"/>
        <w:numPr>
          <w:ilvl w:val="3"/>
          <w:numId w:val="8"/>
        </w:numPr>
        <w:tabs>
          <w:tab w:pos="1159" w:val="left" w:leader="none"/>
        </w:tabs>
        <w:spacing w:line="240" w:lineRule="auto" w:before="0" w:after="0"/>
        <w:ind w:left="318" w:right="418" w:firstLine="0"/>
        <w:jc w:val="both"/>
        <w:rPr>
          <w:sz w:val="22"/>
        </w:rPr>
      </w:pPr>
      <w:r>
        <w:rPr>
          <w:sz w:val="22"/>
        </w:rPr>
        <w:t>Required parameters should be monitored and recorded as required under paragraph 4.4.7 when the EGC is in operation in order to demonstrate</w:t>
      </w:r>
      <w:r>
        <w:rPr>
          <w:spacing w:val="-16"/>
          <w:sz w:val="22"/>
        </w:rPr>
        <w:t> </w:t>
      </w:r>
      <w:r>
        <w:rPr>
          <w:sz w:val="22"/>
        </w:rPr>
        <w:t>compliance.</w:t>
      </w:r>
    </w:p>
    <w:p>
      <w:pPr>
        <w:pStyle w:val="BodyText"/>
        <w:spacing w:before="11"/>
        <w:rPr>
          <w:sz w:val="21"/>
        </w:rPr>
      </w:pPr>
    </w:p>
    <w:p>
      <w:pPr>
        <w:pStyle w:val="Heading2"/>
        <w:numPr>
          <w:ilvl w:val="2"/>
          <w:numId w:val="2"/>
        </w:numPr>
        <w:tabs>
          <w:tab w:pos="1171" w:val="left" w:leader="none"/>
        </w:tabs>
        <w:spacing w:line="240" w:lineRule="auto" w:before="0" w:after="0"/>
        <w:ind w:left="1170" w:right="0" w:hanging="853"/>
        <w:jc w:val="both"/>
        <w:rPr>
          <w:i/>
        </w:rPr>
      </w:pPr>
      <w:r>
        <w:rPr>
          <w:i/>
        </w:rPr>
        <w:t>Scheme B</w:t>
      </w:r>
    </w:p>
    <w:p>
      <w:pPr>
        <w:pStyle w:val="BodyText"/>
        <w:rPr>
          <w:b/>
          <w:i/>
        </w:rPr>
      </w:pPr>
    </w:p>
    <w:p>
      <w:pPr>
        <w:pStyle w:val="BodyText"/>
        <w:ind w:left="318" w:right="413"/>
      </w:pPr>
      <w:r>
        <w:rPr/>
        <w:t>The SECP should refer to, not reproduce, the ETM-B, EGC Record Book or Engine-Room logger system and OMM as specified under Scheme B.</w:t>
      </w:r>
    </w:p>
    <w:p>
      <w:pPr>
        <w:pStyle w:val="BodyText"/>
        <w:spacing w:before="9"/>
        <w:rPr>
          <w:sz w:val="21"/>
        </w:rPr>
      </w:pPr>
    </w:p>
    <w:p>
      <w:pPr>
        <w:pStyle w:val="Heading1"/>
        <w:numPr>
          <w:ilvl w:val="0"/>
          <w:numId w:val="2"/>
        </w:numPr>
        <w:tabs>
          <w:tab w:pos="1171" w:val="left" w:leader="none"/>
        </w:tabs>
        <w:spacing w:line="240" w:lineRule="auto" w:before="0" w:after="0"/>
        <w:ind w:left="1170" w:right="0" w:hanging="853"/>
        <w:jc w:val="both"/>
      </w:pPr>
      <w:r>
        <w:rPr/>
        <w:t>WASHWATER</w:t>
      </w:r>
    </w:p>
    <w:p>
      <w:pPr>
        <w:pStyle w:val="BodyText"/>
        <w:spacing w:before="7"/>
        <w:rPr>
          <w:b/>
          <w:sz w:val="21"/>
        </w:rPr>
      </w:pPr>
    </w:p>
    <w:p>
      <w:pPr>
        <w:pStyle w:val="ListParagraph"/>
        <w:numPr>
          <w:ilvl w:val="1"/>
          <w:numId w:val="2"/>
        </w:numPr>
        <w:tabs>
          <w:tab w:pos="1171" w:val="left" w:leader="none"/>
        </w:tabs>
        <w:spacing w:line="240" w:lineRule="auto" w:before="0" w:after="0"/>
        <w:ind w:left="1170" w:right="0" w:hanging="853"/>
        <w:jc w:val="both"/>
        <w:rPr>
          <w:b/>
          <w:sz w:val="22"/>
        </w:rPr>
      </w:pPr>
      <w:r>
        <w:rPr>
          <w:b/>
          <w:sz w:val="22"/>
        </w:rPr>
        <w:t>Washwater discharge</w:t>
      </w:r>
      <w:r>
        <w:rPr>
          <w:b/>
          <w:spacing w:val="-4"/>
          <w:sz w:val="22"/>
        </w:rPr>
        <w:t> </w:t>
      </w:r>
      <w:r>
        <w:rPr>
          <w:b/>
          <w:sz w:val="22"/>
        </w:rPr>
        <w:t>criteria</w:t>
      </w:r>
      <w:r>
        <w:rPr>
          <w:b/>
          <w:position w:val="8"/>
          <w:sz w:val="14"/>
        </w:rPr>
        <w:t>1</w:t>
      </w:r>
    </w:p>
    <w:p>
      <w:pPr>
        <w:pStyle w:val="BodyText"/>
        <w:spacing w:before="3"/>
        <w:rPr>
          <w:b/>
        </w:rPr>
      </w:pPr>
    </w:p>
    <w:p>
      <w:pPr>
        <w:pStyle w:val="ListParagraph"/>
        <w:numPr>
          <w:ilvl w:val="2"/>
          <w:numId w:val="2"/>
        </w:numPr>
        <w:tabs>
          <w:tab w:pos="1159" w:val="left" w:leader="none"/>
        </w:tabs>
        <w:spacing w:line="240" w:lineRule="auto" w:before="0" w:after="0"/>
        <w:ind w:left="318" w:right="415" w:firstLine="0"/>
        <w:jc w:val="both"/>
        <w:rPr>
          <w:sz w:val="22"/>
        </w:rPr>
      </w:pPr>
      <w:r>
        <w:rPr>
          <w:sz w:val="22"/>
        </w:rPr>
        <w:t>When the EGC system is operated in ports, harbours, or estuaries, the washwater monitoring and recording should be continuous. The values monitored and recorded should include pH, PAH, turbidity and temperature. In other areas the continuous monitoring and recording equipment should also be in operation, whenever the EGC system is in operation, except for short periods of maintenance and cleaning of the equipment. The discharge water should comply with the following</w:t>
      </w:r>
      <w:r>
        <w:rPr>
          <w:spacing w:val="-3"/>
          <w:sz w:val="22"/>
        </w:rPr>
        <w:t> </w:t>
      </w:r>
      <w:r>
        <w:rPr>
          <w:sz w:val="22"/>
        </w:rPr>
        <w:t>limits.</w:t>
      </w:r>
    </w:p>
    <w:p>
      <w:pPr>
        <w:pStyle w:val="BodyText"/>
      </w:pPr>
    </w:p>
    <w:p>
      <w:pPr>
        <w:pStyle w:val="Heading2"/>
        <w:numPr>
          <w:ilvl w:val="2"/>
          <w:numId w:val="2"/>
        </w:numPr>
        <w:tabs>
          <w:tab w:pos="1159" w:val="left" w:leader="none"/>
        </w:tabs>
        <w:spacing w:line="240" w:lineRule="auto" w:before="1" w:after="0"/>
        <w:ind w:left="1158" w:right="0" w:hanging="841"/>
        <w:jc w:val="both"/>
        <w:rPr>
          <w:i/>
        </w:rPr>
      </w:pPr>
      <w:r>
        <w:rPr>
          <w:i/>
        </w:rPr>
        <w:t>pH</w:t>
      </w:r>
      <w:r>
        <w:rPr>
          <w:i/>
          <w:spacing w:val="-2"/>
        </w:rPr>
        <w:t> </w:t>
      </w:r>
      <w:r>
        <w:rPr>
          <w:i/>
        </w:rPr>
        <w:t>criteria</w:t>
      </w:r>
    </w:p>
    <w:p>
      <w:pPr>
        <w:pStyle w:val="BodyText"/>
        <w:spacing w:before="9"/>
        <w:rPr>
          <w:b/>
          <w:i/>
          <w:sz w:val="21"/>
        </w:rPr>
      </w:pPr>
    </w:p>
    <w:p>
      <w:pPr>
        <w:pStyle w:val="ListParagraph"/>
        <w:numPr>
          <w:ilvl w:val="3"/>
          <w:numId w:val="9"/>
        </w:numPr>
        <w:tabs>
          <w:tab w:pos="1171" w:val="left" w:leader="none"/>
        </w:tabs>
        <w:spacing w:line="240" w:lineRule="auto" w:before="0" w:after="0"/>
        <w:ind w:left="318" w:right="417" w:firstLine="0"/>
        <w:jc w:val="both"/>
        <w:rPr>
          <w:sz w:val="22"/>
        </w:rPr>
      </w:pPr>
      <w:r>
        <w:rPr>
          <w:sz w:val="22"/>
        </w:rPr>
        <w:t>The washwater pH should comply with one of the following requirements which should be recorded in the ETM-A or ETM-B as</w:t>
      </w:r>
      <w:r>
        <w:rPr>
          <w:spacing w:val="-5"/>
          <w:sz w:val="22"/>
        </w:rPr>
        <w:t> </w:t>
      </w:r>
      <w:r>
        <w:rPr>
          <w:sz w:val="22"/>
        </w:rPr>
        <w:t>applicable:</w:t>
      </w:r>
    </w:p>
    <w:p>
      <w:pPr>
        <w:pStyle w:val="BodyText"/>
        <w:spacing w:before="2"/>
      </w:pPr>
    </w:p>
    <w:p>
      <w:pPr>
        <w:pStyle w:val="ListParagraph"/>
        <w:numPr>
          <w:ilvl w:val="4"/>
          <w:numId w:val="9"/>
        </w:numPr>
        <w:tabs>
          <w:tab w:pos="1879" w:val="left" w:leader="none"/>
        </w:tabs>
        <w:spacing w:line="240" w:lineRule="auto" w:before="0" w:after="0"/>
        <w:ind w:left="1890" w:right="418" w:hanging="720"/>
        <w:jc w:val="both"/>
        <w:rPr>
          <w:sz w:val="22"/>
        </w:rPr>
      </w:pPr>
      <w:r>
        <w:rPr>
          <w:sz w:val="22"/>
        </w:rPr>
        <w:t>The discharge washwater should have a pH of no less than 6.5 measured at the ship's overboard discharge with the exception that during manoeuvring and transit, the maximum difference between inlet and outlet of 2 pH units is allowed measured at the ship's inlet and overboard</w:t>
      </w:r>
      <w:r>
        <w:rPr>
          <w:spacing w:val="-8"/>
          <w:sz w:val="22"/>
        </w:rPr>
        <w:t> </w:t>
      </w:r>
      <w:r>
        <w:rPr>
          <w:sz w:val="22"/>
        </w:rPr>
        <w:t>discharge.</w:t>
      </w:r>
    </w:p>
    <w:p>
      <w:pPr>
        <w:pStyle w:val="BodyText"/>
      </w:pPr>
    </w:p>
    <w:p>
      <w:pPr>
        <w:pStyle w:val="ListParagraph"/>
        <w:numPr>
          <w:ilvl w:val="4"/>
          <w:numId w:val="9"/>
        </w:numPr>
        <w:tabs>
          <w:tab w:pos="1879" w:val="left" w:leader="none"/>
        </w:tabs>
        <w:spacing w:line="240" w:lineRule="auto" w:before="0" w:after="0"/>
        <w:ind w:left="1890" w:right="413" w:hanging="720"/>
        <w:jc w:val="both"/>
        <w:rPr>
          <w:sz w:val="22"/>
        </w:rPr>
      </w:pPr>
      <w:r>
        <w:rPr>
          <w:sz w:val="22"/>
        </w:rPr>
        <w:t>The pH discharge limit, at the overboard monitoring position, is the value that will achieve as a minimum pH 6.5 at 4 m from the overboard discharge point with the ship stationary, and which is to be recorded as the overboard pH discharge limit in the ETM-A or ETM-B. The overboard pH discharge limit can be determined either by means of direct measurement, or by using a calculation-based methodology (computational fluid dynamics or other equally scientifically established empirical formulae) to be left to the approval by the Administration, and in accordance with the following conditions to be recorded in the ETM-A or</w:t>
      </w:r>
      <w:r>
        <w:rPr>
          <w:spacing w:val="-4"/>
          <w:sz w:val="22"/>
        </w:rPr>
        <w:t> </w:t>
      </w:r>
      <w:r>
        <w:rPr>
          <w:sz w:val="22"/>
        </w:rPr>
        <w:t>ETM-B:</w:t>
      </w:r>
    </w:p>
    <w:p>
      <w:pPr>
        <w:pStyle w:val="BodyText"/>
      </w:pPr>
    </w:p>
    <w:p>
      <w:pPr>
        <w:pStyle w:val="ListParagraph"/>
        <w:numPr>
          <w:ilvl w:val="5"/>
          <w:numId w:val="9"/>
        </w:numPr>
        <w:tabs>
          <w:tab w:pos="2869" w:val="left" w:leader="none"/>
          <w:tab w:pos="2870" w:val="left" w:leader="none"/>
        </w:tabs>
        <w:spacing w:line="240" w:lineRule="auto" w:before="0" w:after="0"/>
        <w:ind w:left="2870" w:right="416" w:hanging="850"/>
        <w:jc w:val="both"/>
        <w:rPr>
          <w:sz w:val="22"/>
        </w:rPr>
      </w:pPr>
      <w:r>
        <w:rPr>
          <w:sz w:val="22"/>
        </w:rPr>
        <w:t>all EGC units connected to the same outlets are operating at their full loads (or highest practicable load) and with the fuel oil of a maximum sulphur content for which the units are to be certified (Scheme A) or used with (Scheme</w:t>
      </w:r>
      <w:r>
        <w:rPr>
          <w:spacing w:val="-5"/>
          <w:sz w:val="22"/>
        </w:rPr>
        <w:t> </w:t>
      </w:r>
      <w:r>
        <w:rPr>
          <w:sz w:val="22"/>
        </w:rPr>
        <w:t>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1"/>
        </w:rPr>
      </w:pPr>
      <w:r>
        <w:rPr/>
        <w:pict>
          <v:line style="position:absolute;mso-position-horizontal-relative:page;mso-position-vertical-relative:paragraph;z-index:-251658240;mso-wrap-distance-left:0;mso-wrap-distance-right:0" from="70.944pt,9.133842pt" to="214.964pt,9.133842pt" stroked="true" strokeweight=".599980pt" strokecolor="#000000">
            <v:stroke dashstyle="solid"/>
            <w10:wrap type="topAndBottom"/>
          </v:line>
        </w:pict>
      </w:r>
    </w:p>
    <w:p>
      <w:pPr>
        <w:pStyle w:val="ListParagraph"/>
        <w:numPr>
          <w:ilvl w:val="0"/>
          <w:numId w:val="10"/>
        </w:numPr>
        <w:tabs>
          <w:tab w:pos="885" w:val="left" w:leader="none"/>
          <w:tab w:pos="886" w:val="left" w:leader="none"/>
        </w:tabs>
        <w:spacing w:line="254" w:lineRule="auto" w:before="57" w:after="0"/>
        <w:ind w:left="885" w:right="421" w:hanging="567"/>
        <w:jc w:val="left"/>
        <w:rPr>
          <w:sz w:val="18"/>
        </w:rPr>
      </w:pPr>
      <w:r>
        <w:rPr>
          <w:sz w:val="18"/>
        </w:rPr>
        <w:t>The washwater discharge criteria should be revised in the future as more data becomes available on the contents of the discharge and its effects, taking into account any advice given by</w:t>
      </w:r>
      <w:r>
        <w:rPr>
          <w:spacing w:val="-24"/>
          <w:sz w:val="18"/>
        </w:rPr>
        <w:t> </w:t>
      </w:r>
      <w:r>
        <w:rPr>
          <w:sz w:val="18"/>
        </w:rPr>
        <w:t>GESAMP.</w:t>
      </w:r>
    </w:p>
    <w:p>
      <w:pPr>
        <w:spacing w:after="0" w:line="254" w:lineRule="auto"/>
        <w:jc w:val="left"/>
        <w:rPr>
          <w:sz w:val="18"/>
        </w:rPr>
        <w:sectPr>
          <w:pgSz w:w="11910" w:h="16840"/>
          <w:pgMar w:header="856" w:footer="805" w:top="1540" w:bottom="1060" w:left="1100" w:right="1000"/>
        </w:sectPr>
      </w:pPr>
    </w:p>
    <w:p>
      <w:pPr>
        <w:pStyle w:val="ListParagraph"/>
        <w:numPr>
          <w:ilvl w:val="5"/>
          <w:numId w:val="9"/>
        </w:numPr>
        <w:tabs>
          <w:tab w:pos="2869" w:val="left" w:leader="none"/>
          <w:tab w:pos="2870" w:val="left" w:leader="none"/>
        </w:tabs>
        <w:spacing w:line="240" w:lineRule="auto" w:before="89" w:after="0"/>
        <w:ind w:left="2870" w:right="414" w:hanging="850"/>
        <w:jc w:val="both"/>
        <w:rPr>
          <w:sz w:val="22"/>
        </w:rPr>
      </w:pPr>
      <w:r>
        <w:rPr>
          <w:sz w:val="22"/>
        </w:rPr>
        <w:t>if a test fuel with lower sulphur content, and/or test load lower than maximum, sufficient for demonstrating the behaviour of the washwater plume is used, the plume's mixing ratio must be established based on the titration curve of seawater. The mixing ratio would be used to demonstrate the behaviour of the washwater plume and that the overboard pH discharge limit has been met if the EGC system is operated at the highest fuel sulphur content and load for which the EGC system is certified (Scheme A) or used with (Scheme</w:t>
      </w:r>
      <w:r>
        <w:rPr>
          <w:spacing w:val="-4"/>
          <w:sz w:val="22"/>
        </w:rPr>
        <w:t> </w:t>
      </w:r>
      <w:r>
        <w:rPr>
          <w:sz w:val="22"/>
        </w:rPr>
        <w:t>B);</w:t>
      </w:r>
    </w:p>
    <w:p>
      <w:pPr>
        <w:pStyle w:val="ListParagraph"/>
        <w:numPr>
          <w:ilvl w:val="5"/>
          <w:numId w:val="9"/>
        </w:numPr>
        <w:tabs>
          <w:tab w:pos="2869" w:val="left" w:leader="none"/>
          <w:tab w:pos="2870" w:val="left" w:leader="none"/>
        </w:tabs>
        <w:spacing w:line="240" w:lineRule="auto" w:before="186" w:after="0"/>
        <w:ind w:left="2870" w:right="416" w:hanging="850"/>
        <w:jc w:val="both"/>
        <w:rPr>
          <w:sz w:val="22"/>
        </w:rPr>
      </w:pPr>
      <w:r>
        <w:rPr>
          <w:sz w:val="22"/>
        </w:rPr>
        <w:t>where the washwater flow rate is varied in accordance with the EGC system gas flow rate, the implications of this for the part load performance should also be evaluated to ensure that the overboard pH discharge limit is met under any</w:t>
      </w:r>
      <w:r>
        <w:rPr>
          <w:spacing w:val="-10"/>
          <w:sz w:val="22"/>
        </w:rPr>
        <w:t> </w:t>
      </w:r>
      <w:r>
        <w:rPr>
          <w:sz w:val="22"/>
        </w:rPr>
        <w:t>load;</w:t>
      </w:r>
    </w:p>
    <w:p>
      <w:pPr>
        <w:pStyle w:val="ListParagraph"/>
        <w:numPr>
          <w:ilvl w:val="5"/>
          <w:numId w:val="9"/>
        </w:numPr>
        <w:tabs>
          <w:tab w:pos="2869" w:val="left" w:leader="none"/>
          <w:tab w:pos="2870" w:val="left" w:leader="none"/>
        </w:tabs>
        <w:spacing w:line="237" w:lineRule="auto" w:before="185" w:after="0"/>
        <w:ind w:left="2870" w:right="415" w:hanging="850"/>
        <w:jc w:val="both"/>
        <w:rPr>
          <w:sz w:val="22"/>
        </w:rPr>
      </w:pPr>
      <w:r>
        <w:rPr>
          <w:sz w:val="22"/>
        </w:rPr>
        <w:t>reference    should    be    made    to    a     sea-water     alkalinity of 2,200 μmol/litre and pH 8.2</w:t>
      </w:r>
      <w:r>
        <w:rPr>
          <w:position w:val="8"/>
          <w:sz w:val="14"/>
        </w:rPr>
        <w:t>2</w:t>
      </w:r>
      <w:r>
        <w:rPr>
          <w:sz w:val="22"/>
        </w:rPr>
        <w:t>; an amended titration curve should be applied where the testing conditions differ from the reference seawater, as agreed by the Administration;</w:t>
      </w:r>
      <w:r>
        <w:rPr>
          <w:spacing w:val="-6"/>
          <w:sz w:val="22"/>
        </w:rPr>
        <w:t> </w:t>
      </w:r>
      <w:r>
        <w:rPr>
          <w:sz w:val="22"/>
        </w:rPr>
        <w:t>and</w:t>
      </w:r>
    </w:p>
    <w:p>
      <w:pPr>
        <w:pStyle w:val="ListParagraph"/>
        <w:numPr>
          <w:ilvl w:val="5"/>
          <w:numId w:val="9"/>
        </w:numPr>
        <w:tabs>
          <w:tab w:pos="2869" w:val="left" w:leader="none"/>
          <w:tab w:pos="2870" w:val="left" w:leader="none"/>
        </w:tabs>
        <w:spacing w:line="240" w:lineRule="auto" w:before="187" w:after="0"/>
        <w:ind w:left="2870" w:right="415" w:hanging="850"/>
        <w:jc w:val="both"/>
        <w:rPr>
          <w:sz w:val="22"/>
        </w:rPr>
      </w:pPr>
      <w:r>
        <w:rPr>
          <w:sz w:val="22"/>
        </w:rPr>
        <w:t>if a calculation-based methodology is to be used, details to allow its verification such as but not limited to supporting scientific formulae, discharge point specification, washwater discharge flow rates, designed pH values at both the discharge and 4 m location, titration and dilution data should be</w:t>
      </w:r>
      <w:r>
        <w:rPr>
          <w:spacing w:val="-8"/>
          <w:sz w:val="22"/>
        </w:rPr>
        <w:t> </w:t>
      </w:r>
      <w:r>
        <w:rPr>
          <w:sz w:val="22"/>
        </w:rPr>
        <w:t>submitted.</w:t>
      </w:r>
    </w:p>
    <w:p>
      <w:pPr>
        <w:pStyle w:val="Heading2"/>
        <w:numPr>
          <w:ilvl w:val="2"/>
          <w:numId w:val="2"/>
        </w:numPr>
        <w:tabs>
          <w:tab w:pos="1171" w:val="left" w:leader="none"/>
        </w:tabs>
        <w:spacing w:line="240" w:lineRule="auto" w:before="185" w:after="0"/>
        <w:ind w:left="1170" w:right="0" w:hanging="853"/>
        <w:jc w:val="both"/>
        <w:rPr>
          <w:i/>
        </w:rPr>
      </w:pPr>
      <w:r>
        <w:rPr>
          <w:i/>
        </w:rPr>
        <w:t>PAHs (Polycyclic Aromatic</w:t>
      </w:r>
      <w:r>
        <w:rPr>
          <w:i/>
          <w:spacing w:val="-5"/>
        </w:rPr>
        <w:t> </w:t>
      </w:r>
      <w:r>
        <w:rPr>
          <w:i/>
        </w:rPr>
        <w:t>Hydrocarbons)</w:t>
      </w:r>
    </w:p>
    <w:p>
      <w:pPr>
        <w:pStyle w:val="ListParagraph"/>
        <w:numPr>
          <w:ilvl w:val="3"/>
          <w:numId w:val="11"/>
        </w:numPr>
        <w:tabs>
          <w:tab w:pos="1171" w:val="left" w:leader="none"/>
        </w:tabs>
        <w:spacing w:line="240" w:lineRule="auto" w:before="183" w:after="0"/>
        <w:ind w:left="318" w:right="416" w:firstLine="0"/>
        <w:jc w:val="both"/>
        <w:rPr>
          <w:sz w:val="22"/>
        </w:rPr>
      </w:pPr>
      <w:r>
        <w:rPr>
          <w:sz w:val="22"/>
        </w:rPr>
        <w:t>The washwater PAH should comply with the following requirements. The appropriate limit should be specified in the ETM-A or</w:t>
      </w:r>
      <w:r>
        <w:rPr>
          <w:spacing w:val="-10"/>
          <w:sz w:val="22"/>
        </w:rPr>
        <w:t> </w:t>
      </w:r>
      <w:r>
        <w:rPr>
          <w:sz w:val="22"/>
        </w:rPr>
        <w:t>ETM-B.</w:t>
      </w:r>
    </w:p>
    <w:p>
      <w:pPr>
        <w:pStyle w:val="ListParagraph"/>
        <w:numPr>
          <w:ilvl w:val="3"/>
          <w:numId w:val="11"/>
        </w:numPr>
        <w:tabs>
          <w:tab w:pos="1171" w:val="left" w:leader="none"/>
        </w:tabs>
        <w:spacing w:line="240" w:lineRule="auto" w:before="183" w:after="0"/>
        <w:ind w:left="318" w:right="413" w:firstLine="0"/>
        <w:jc w:val="both"/>
        <w:rPr>
          <w:sz w:val="22"/>
        </w:rPr>
      </w:pPr>
      <w:r>
        <w:rPr>
          <w:sz w:val="22"/>
        </w:rPr>
        <w:t>The maximum continuous PAH concentration in the washwater should not be</w:t>
      </w:r>
      <w:r>
        <w:rPr>
          <w:position w:val="2"/>
          <w:sz w:val="22"/>
        </w:rPr>
        <w:t> greater than 50 µg/L PAH</w:t>
      </w:r>
      <w:r>
        <w:rPr>
          <w:sz w:val="14"/>
        </w:rPr>
        <w:t>phe </w:t>
      </w:r>
      <w:r>
        <w:rPr>
          <w:position w:val="2"/>
          <w:sz w:val="22"/>
        </w:rPr>
        <w:t>(phenanthrene equivalence) above the inlet water PAH</w:t>
      </w:r>
      <w:r>
        <w:rPr>
          <w:sz w:val="22"/>
        </w:rPr>
        <w:t> concentration. For the purposes of this criteria, the PAH concentration in the washwater should be measured downstream of the water treatment equipment, but upstream of any washwater dilution or other reactant dosing unit, if used, prior to discharge.</w:t>
      </w:r>
    </w:p>
    <w:p>
      <w:pPr>
        <w:pStyle w:val="ListParagraph"/>
        <w:numPr>
          <w:ilvl w:val="3"/>
          <w:numId w:val="11"/>
        </w:numPr>
        <w:tabs>
          <w:tab w:pos="1171" w:val="left" w:leader="none"/>
        </w:tabs>
        <w:spacing w:line="240" w:lineRule="auto" w:before="182" w:after="0"/>
        <w:ind w:left="318" w:right="418" w:firstLine="0"/>
        <w:jc w:val="both"/>
        <w:rPr>
          <w:sz w:val="22"/>
        </w:rPr>
      </w:pPr>
      <w:r>
        <w:rPr>
          <w:sz w:val="22"/>
        </w:rPr>
        <w:t>The 50 µg/L limit described above is normalized for a washwater flow rate through the EGC unit of 45 t/MWh where the </w:t>
      </w:r>
      <w:r>
        <w:rPr>
          <w:spacing w:val="-4"/>
          <w:sz w:val="22"/>
        </w:rPr>
        <w:t>MW </w:t>
      </w:r>
      <w:r>
        <w:rPr>
          <w:sz w:val="22"/>
        </w:rPr>
        <w:t>refers to the MCR or 80% of the power rating of the fuel oil combustion unit. This limit would have to be adjusted upward for lower washwater flow rates per MWh, and vice-versa, according to the table</w:t>
      </w:r>
      <w:r>
        <w:rPr>
          <w:spacing w:val="-7"/>
          <w:sz w:val="22"/>
        </w:rPr>
        <w:t> </w:t>
      </w:r>
      <w:r>
        <w:rPr>
          <w:sz w:val="22"/>
        </w:rPr>
        <w:t>below.</w:t>
      </w:r>
    </w:p>
    <w:p>
      <w:pPr>
        <w:pStyle w:val="BodyText"/>
        <w:spacing w:before="2"/>
        <w:rPr>
          <w:sz w:val="16"/>
        </w:rPr>
      </w:pPr>
    </w:p>
    <w:tbl>
      <w:tblPr>
        <w:tblW w:w="0" w:type="auto"/>
        <w:jc w:val="left"/>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6"/>
        <w:gridCol w:w="3754"/>
        <w:gridCol w:w="2880"/>
      </w:tblGrid>
      <w:tr>
        <w:trPr>
          <w:trHeight w:val="505" w:hRule="atLeast"/>
        </w:trPr>
        <w:tc>
          <w:tcPr>
            <w:tcW w:w="1886" w:type="dxa"/>
          </w:tcPr>
          <w:p>
            <w:pPr>
              <w:pStyle w:val="TableParagraph"/>
              <w:spacing w:line="252" w:lineRule="exact" w:before="2"/>
              <w:ind w:left="539" w:right="431" w:hanging="80"/>
              <w:jc w:val="left"/>
              <w:rPr>
                <w:b/>
                <w:sz w:val="22"/>
              </w:rPr>
            </w:pPr>
            <w:r>
              <w:rPr>
                <w:b/>
                <w:sz w:val="22"/>
              </w:rPr>
              <w:t>Flow rate (t/MWh)</w:t>
            </w:r>
          </w:p>
        </w:tc>
        <w:tc>
          <w:tcPr>
            <w:tcW w:w="3754" w:type="dxa"/>
          </w:tcPr>
          <w:p>
            <w:pPr>
              <w:pStyle w:val="TableParagraph"/>
              <w:spacing w:line="250" w:lineRule="exact"/>
              <w:ind w:left="310" w:right="301"/>
              <w:rPr>
                <w:b/>
                <w:sz w:val="22"/>
              </w:rPr>
            </w:pPr>
            <w:r>
              <w:rPr>
                <w:b/>
                <w:sz w:val="22"/>
              </w:rPr>
              <w:t>Discharge concentration limit</w:t>
            </w:r>
          </w:p>
          <w:p>
            <w:pPr>
              <w:pStyle w:val="TableParagraph"/>
              <w:spacing w:line="236" w:lineRule="exact"/>
              <w:ind w:left="310" w:right="300"/>
              <w:rPr>
                <w:b/>
                <w:sz w:val="22"/>
              </w:rPr>
            </w:pPr>
            <w:r>
              <w:rPr>
                <w:b/>
                <w:position w:val="2"/>
                <w:sz w:val="22"/>
              </w:rPr>
              <w:t>(µg/L PAH</w:t>
            </w:r>
            <w:r>
              <w:rPr>
                <w:b/>
                <w:sz w:val="14"/>
              </w:rPr>
              <w:t>phe </w:t>
            </w:r>
            <w:r>
              <w:rPr>
                <w:b/>
                <w:position w:val="2"/>
                <w:sz w:val="22"/>
              </w:rPr>
              <w:t>equivalents)</w:t>
            </w:r>
          </w:p>
        </w:tc>
        <w:tc>
          <w:tcPr>
            <w:tcW w:w="2880" w:type="dxa"/>
          </w:tcPr>
          <w:p>
            <w:pPr>
              <w:pStyle w:val="TableParagraph"/>
              <w:spacing w:before="122"/>
              <w:ind w:left="94" w:right="83"/>
              <w:rPr>
                <w:b/>
                <w:sz w:val="22"/>
              </w:rPr>
            </w:pPr>
            <w:r>
              <w:rPr>
                <w:b/>
                <w:sz w:val="22"/>
              </w:rPr>
              <w:t>Measurement technology</w:t>
            </w:r>
          </w:p>
        </w:tc>
      </w:tr>
      <w:tr>
        <w:trPr>
          <w:trHeight w:val="254" w:hRule="atLeast"/>
        </w:trPr>
        <w:tc>
          <w:tcPr>
            <w:tcW w:w="1886" w:type="dxa"/>
          </w:tcPr>
          <w:p>
            <w:pPr>
              <w:pStyle w:val="TableParagraph"/>
              <w:spacing w:line="234" w:lineRule="exact"/>
              <w:ind w:left="647" w:right="635"/>
              <w:rPr>
                <w:sz w:val="22"/>
              </w:rPr>
            </w:pPr>
            <w:r>
              <w:rPr>
                <w:sz w:val="22"/>
              </w:rPr>
              <w:t>0-1</w:t>
            </w:r>
          </w:p>
        </w:tc>
        <w:tc>
          <w:tcPr>
            <w:tcW w:w="3754" w:type="dxa"/>
          </w:tcPr>
          <w:p>
            <w:pPr>
              <w:pStyle w:val="TableParagraph"/>
              <w:spacing w:line="234" w:lineRule="exact"/>
              <w:ind w:left="310" w:right="299"/>
              <w:rPr>
                <w:sz w:val="22"/>
              </w:rPr>
            </w:pPr>
            <w:r>
              <w:rPr>
                <w:sz w:val="22"/>
              </w:rPr>
              <w:t>2250</w:t>
            </w:r>
          </w:p>
        </w:tc>
        <w:tc>
          <w:tcPr>
            <w:tcW w:w="2880" w:type="dxa"/>
          </w:tcPr>
          <w:p>
            <w:pPr>
              <w:pStyle w:val="TableParagraph"/>
              <w:spacing w:line="234" w:lineRule="exact"/>
              <w:ind w:left="93" w:right="83"/>
              <w:rPr>
                <w:sz w:val="22"/>
              </w:rPr>
            </w:pPr>
            <w:r>
              <w:rPr>
                <w:sz w:val="22"/>
              </w:rPr>
              <w:t>Ultraviolet light</w:t>
            </w:r>
          </w:p>
        </w:tc>
      </w:tr>
      <w:tr>
        <w:trPr>
          <w:trHeight w:val="254" w:hRule="atLeast"/>
        </w:trPr>
        <w:tc>
          <w:tcPr>
            <w:tcW w:w="1886" w:type="dxa"/>
          </w:tcPr>
          <w:p>
            <w:pPr>
              <w:pStyle w:val="TableParagraph"/>
              <w:spacing w:line="234" w:lineRule="exact"/>
              <w:ind w:left="646" w:right="637"/>
              <w:rPr>
                <w:sz w:val="22"/>
              </w:rPr>
            </w:pPr>
            <w:r>
              <w:rPr>
                <w:sz w:val="22"/>
              </w:rPr>
              <w:t>2.5</w:t>
            </w:r>
          </w:p>
        </w:tc>
        <w:tc>
          <w:tcPr>
            <w:tcW w:w="3754" w:type="dxa"/>
          </w:tcPr>
          <w:p>
            <w:pPr>
              <w:pStyle w:val="TableParagraph"/>
              <w:spacing w:line="234" w:lineRule="exact"/>
              <w:ind w:left="309" w:right="301"/>
              <w:rPr>
                <w:sz w:val="22"/>
              </w:rPr>
            </w:pPr>
            <w:r>
              <w:rPr>
                <w:sz w:val="22"/>
              </w:rPr>
              <w:t>900</w:t>
            </w:r>
          </w:p>
        </w:tc>
        <w:tc>
          <w:tcPr>
            <w:tcW w:w="2880" w:type="dxa"/>
          </w:tcPr>
          <w:p>
            <w:pPr>
              <w:pStyle w:val="TableParagraph"/>
              <w:spacing w:line="234" w:lineRule="exact"/>
              <w:ind w:left="94" w:right="83"/>
              <w:rPr>
                <w:sz w:val="22"/>
              </w:rPr>
            </w:pPr>
            <w:r>
              <w:rPr>
                <w:sz w:val="22"/>
              </w:rPr>
              <w:t>– " –</w:t>
            </w:r>
          </w:p>
        </w:tc>
      </w:tr>
      <w:tr>
        <w:trPr>
          <w:trHeight w:val="251" w:hRule="atLeast"/>
        </w:trPr>
        <w:tc>
          <w:tcPr>
            <w:tcW w:w="1886" w:type="dxa"/>
          </w:tcPr>
          <w:p>
            <w:pPr>
              <w:pStyle w:val="TableParagraph"/>
              <w:spacing w:line="232" w:lineRule="exact"/>
              <w:ind w:left="7"/>
              <w:rPr>
                <w:sz w:val="22"/>
              </w:rPr>
            </w:pPr>
            <w:r>
              <w:rPr>
                <w:w w:val="100"/>
                <w:sz w:val="22"/>
              </w:rPr>
              <w:t>5</w:t>
            </w:r>
          </w:p>
        </w:tc>
        <w:tc>
          <w:tcPr>
            <w:tcW w:w="3754" w:type="dxa"/>
          </w:tcPr>
          <w:p>
            <w:pPr>
              <w:pStyle w:val="TableParagraph"/>
              <w:spacing w:line="232" w:lineRule="exact"/>
              <w:ind w:left="309" w:right="301"/>
              <w:rPr>
                <w:sz w:val="22"/>
              </w:rPr>
            </w:pPr>
            <w:r>
              <w:rPr>
                <w:sz w:val="22"/>
              </w:rPr>
              <w:t>450</w:t>
            </w:r>
          </w:p>
        </w:tc>
        <w:tc>
          <w:tcPr>
            <w:tcW w:w="2880" w:type="dxa"/>
          </w:tcPr>
          <w:p>
            <w:pPr>
              <w:pStyle w:val="TableParagraph"/>
              <w:spacing w:line="232" w:lineRule="exact"/>
              <w:ind w:left="94" w:right="82"/>
              <w:rPr>
                <w:sz w:val="14"/>
              </w:rPr>
            </w:pPr>
            <w:r>
              <w:rPr>
                <w:sz w:val="22"/>
              </w:rPr>
              <w:t>Fluorescence</w:t>
            </w:r>
            <w:r>
              <w:rPr>
                <w:position w:val="8"/>
                <w:sz w:val="14"/>
              </w:rPr>
              <w:t>3</w:t>
            </w:r>
          </w:p>
        </w:tc>
      </w:tr>
      <w:tr>
        <w:trPr>
          <w:trHeight w:val="254" w:hRule="atLeast"/>
        </w:trPr>
        <w:tc>
          <w:tcPr>
            <w:tcW w:w="1886" w:type="dxa"/>
          </w:tcPr>
          <w:p>
            <w:pPr>
              <w:pStyle w:val="TableParagraph"/>
              <w:spacing w:line="235" w:lineRule="exact"/>
              <w:ind w:left="647" w:right="637"/>
              <w:rPr>
                <w:sz w:val="22"/>
              </w:rPr>
            </w:pPr>
            <w:r>
              <w:rPr>
                <w:sz w:val="22"/>
              </w:rPr>
              <w:t>11.25</w:t>
            </w:r>
          </w:p>
        </w:tc>
        <w:tc>
          <w:tcPr>
            <w:tcW w:w="3754" w:type="dxa"/>
          </w:tcPr>
          <w:p>
            <w:pPr>
              <w:pStyle w:val="TableParagraph"/>
              <w:spacing w:line="235" w:lineRule="exact"/>
              <w:ind w:left="309" w:right="301"/>
              <w:rPr>
                <w:sz w:val="22"/>
              </w:rPr>
            </w:pPr>
            <w:r>
              <w:rPr>
                <w:sz w:val="22"/>
              </w:rPr>
              <w:t>200</w:t>
            </w:r>
          </w:p>
        </w:tc>
        <w:tc>
          <w:tcPr>
            <w:tcW w:w="2880" w:type="dxa"/>
          </w:tcPr>
          <w:p>
            <w:pPr>
              <w:pStyle w:val="TableParagraph"/>
              <w:spacing w:line="235" w:lineRule="exact"/>
              <w:ind w:left="94" w:right="83"/>
              <w:rPr>
                <w:sz w:val="22"/>
              </w:rPr>
            </w:pPr>
            <w:r>
              <w:rPr>
                <w:sz w:val="22"/>
              </w:rPr>
              <w:t>– " –</w:t>
            </w:r>
          </w:p>
        </w:tc>
      </w:tr>
      <w:tr>
        <w:trPr>
          <w:trHeight w:val="251" w:hRule="atLeast"/>
        </w:trPr>
        <w:tc>
          <w:tcPr>
            <w:tcW w:w="1886" w:type="dxa"/>
          </w:tcPr>
          <w:p>
            <w:pPr>
              <w:pStyle w:val="TableParagraph"/>
              <w:spacing w:line="232" w:lineRule="exact"/>
              <w:ind w:left="647" w:right="635"/>
              <w:rPr>
                <w:sz w:val="22"/>
              </w:rPr>
            </w:pPr>
            <w:r>
              <w:rPr>
                <w:sz w:val="22"/>
              </w:rPr>
              <w:t>22.5</w:t>
            </w:r>
          </w:p>
        </w:tc>
        <w:tc>
          <w:tcPr>
            <w:tcW w:w="3754" w:type="dxa"/>
          </w:tcPr>
          <w:p>
            <w:pPr>
              <w:pStyle w:val="TableParagraph"/>
              <w:spacing w:line="232" w:lineRule="exact"/>
              <w:ind w:left="309" w:right="301"/>
              <w:rPr>
                <w:sz w:val="22"/>
              </w:rPr>
            </w:pPr>
            <w:r>
              <w:rPr>
                <w:sz w:val="22"/>
              </w:rPr>
              <w:t>100</w:t>
            </w:r>
          </w:p>
        </w:tc>
        <w:tc>
          <w:tcPr>
            <w:tcW w:w="2880" w:type="dxa"/>
          </w:tcPr>
          <w:p>
            <w:pPr>
              <w:pStyle w:val="TableParagraph"/>
              <w:spacing w:line="232" w:lineRule="exact"/>
              <w:ind w:left="94" w:right="83"/>
              <w:rPr>
                <w:sz w:val="22"/>
              </w:rPr>
            </w:pPr>
            <w:r>
              <w:rPr>
                <w:sz w:val="22"/>
              </w:rPr>
              <w:t>– " –</w:t>
            </w:r>
          </w:p>
        </w:tc>
      </w:tr>
      <w:tr>
        <w:trPr>
          <w:trHeight w:val="254" w:hRule="atLeast"/>
        </w:trPr>
        <w:tc>
          <w:tcPr>
            <w:tcW w:w="1886" w:type="dxa"/>
          </w:tcPr>
          <w:p>
            <w:pPr>
              <w:pStyle w:val="TableParagraph"/>
              <w:spacing w:line="234" w:lineRule="exact"/>
              <w:ind w:left="646" w:right="637"/>
              <w:rPr>
                <w:sz w:val="22"/>
              </w:rPr>
            </w:pPr>
            <w:r>
              <w:rPr>
                <w:sz w:val="22"/>
              </w:rPr>
              <w:t>45</w:t>
            </w:r>
          </w:p>
        </w:tc>
        <w:tc>
          <w:tcPr>
            <w:tcW w:w="3754" w:type="dxa"/>
          </w:tcPr>
          <w:p>
            <w:pPr>
              <w:pStyle w:val="TableParagraph"/>
              <w:spacing w:line="234" w:lineRule="exact"/>
              <w:ind w:left="310" w:right="299"/>
              <w:rPr>
                <w:sz w:val="22"/>
              </w:rPr>
            </w:pPr>
            <w:r>
              <w:rPr>
                <w:sz w:val="22"/>
              </w:rPr>
              <w:t>50</w:t>
            </w:r>
          </w:p>
        </w:tc>
        <w:tc>
          <w:tcPr>
            <w:tcW w:w="2880" w:type="dxa"/>
          </w:tcPr>
          <w:p>
            <w:pPr>
              <w:pStyle w:val="TableParagraph"/>
              <w:spacing w:line="234" w:lineRule="exact"/>
              <w:ind w:left="94" w:right="83"/>
              <w:rPr>
                <w:sz w:val="22"/>
              </w:rPr>
            </w:pPr>
            <w:r>
              <w:rPr>
                <w:sz w:val="22"/>
              </w:rPr>
              <w:t>– " –</w:t>
            </w:r>
          </w:p>
        </w:tc>
      </w:tr>
      <w:tr>
        <w:trPr>
          <w:trHeight w:val="254" w:hRule="atLeast"/>
        </w:trPr>
        <w:tc>
          <w:tcPr>
            <w:tcW w:w="1886" w:type="dxa"/>
          </w:tcPr>
          <w:p>
            <w:pPr>
              <w:pStyle w:val="TableParagraph"/>
              <w:spacing w:line="234" w:lineRule="exact"/>
              <w:ind w:left="646" w:right="637"/>
              <w:rPr>
                <w:sz w:val="22"/>
              </w:rPr>
            </w:pPr>
            <w:r>
              <w:rPr>
                <w:sz w:val="22"/>
              </w:rPr>
              <w:t>90</w:t>
            </w:r>
          </w:p>
        </w:tc>
        <w:tc>
          <w:tcPr>
            <w:tcW w:w="3754" w:type="dxa"/>
          </w:tcPr>
          <w:p>
            <w:pPr>
              <w:pStyle w:val="TableParagraph"/>
              <w:spacing w:line="234" w:lineRule="exact"/>
              <w:ind w:left="310" w:right="299"/>
              <w:rPr>
                <w:sz w:val="22"/>
              </w:rPr>
            </w:pPr>
            <w:r>
              <w:rPr>
                <w:sz w:val="22"/>
              </w:rPr>
              <w:t>25</w:t>
            </w:r>
          </w:p>
        </w:tc>
        <w:tc>
          <w:tcPr>
            <w:tcW w:w="2880" w:type="dxa"/>
          </w:tcPr>
          <w:p>
            <w:pPr>
              <w:pStyle w:val="TableParagraph"/>
              <w:spacing w:line="234" w:lineRule="exact"/>
              <w:ind w:left="94" w:right="83"/>
              <w:rPr>
                <w:sz w:val="22"/>
              </w:rPr>
            </w:pPr>
            <w:r>
              <w:rPr>
                <w:sz w:val="22"/>
              </w:rPr>
              <w:t>– " –</w:t>
            </w:r>
          </w:p>
        </w:tc>
      </w:tr>
    </w:tbl>
    <w:p>
      <w:pPr>
        <w:pStyle w:val="BodyText"/>
        <w:spacing w:before="9"/>
        <w:rPr>
          <w:sz w:val="11"/>
        </w:rPr>
      </w:pPr>
      <w:r>
        <w:rPr/>
        <w:pict>
          <v:line style="position:absolute;mso-position-horizontal-relative:page;mso-position-vertical-relative:paragraph;z-index:-251657216;mso-wrap-distance-left:0;mso-wrap-distance-right:0" from="70.944pt,9.05998pt" to="214.964pt,9.05998pt" stroked="true" strokeweight=".60004pt" strokecolor="#000000">
            <v:stroke dashstyle="solid"/>
            <w10:wrap type="topAndBottom"/>
          </v:line>
        </w:pict>
      </w:r>
    </w:p>
    <w:p>
      <w:pPr>
        <w:pStyle w:val="ListParagraph"/>
        <w:numPr>
          <w:ilvl w:val="0"/>
          <w:numId w:val="10"/>
        </w:numPr>
        <w:tabs>
          <w:tab w:pos="885" w:val="left" w:leader="none"/>
          <w:tab w:pos="886" w:val="left" w:leader="none"/>
        </w:tabs>
        <w:spacing w:line="247" w:lineRule="auto" w:before="57" w:after="0"/>
        <w:ind w:left="885" w:right="413" w:hanging="567"/>
        <w:jc w:val="both"/>
        <w:rPr>
          <w:sz w:val="18"/>
        </w:rPr>
      </w:pPr>
      <w:r>
        <w:rPr>
          <w:sz w:val="18"/>
        </w:rPr>
        <w:t>These values could be revised within two years for new installations following the adoption of these amended guidelines upon further inputs on the physical state of the seas resulting from the use of exhaust gas cleaning</w:t>
      </w:r>
      <w:r>
        <w:rPr>
          <w:spacing w:val="-2"/>
          <w:sz w:val="18"/>
        </w:rPr>
        <w:t> </w:t>
      </w:r>
      <w:r>
        <w:rPr>
          <w:sz w:val="18"/>
        </w:rPr>
        <w:t>systems.</w:t>
      </w:r>
    </w:p>
    <w:p>
      <w:pPr>
        <w:pStyle w:val="ListParagraph"/>
        <w:numPr>
          <w:ilvl w:val="0"/>
          <w:numId w:val="10"/>
        </w:numPr>
        <w:tabs>
          <w:tab w:pos="885" w:val="left" w:leader="none"/>
          <w:tab w:pos="886" w:val="left" w:leader="none"/>
        </w:tabs>
        <w:spacing w:line="240" w:lineRule="auto" w:before="124" w:after="0"/>
        <w:ind w:left="885" w:right="0" w:hanging="568"/>
        <w:jc w:val="both"/>
        <w:rPr>
          <w:sz w:val="18"/>
        </w:rPr>
      </w:pPr>
      <w:r>
        <w:rPr>
          <w:sz w:val="18"/>
        </w:rPr>
        <w:t>For any Flow Rate &gt; 2.5 t/MWh Fluorescence technology should be</w:t>
      </w:r>
      <w:r>
        <w:rPr>
          <w:spacing w:val="-16"/>
          <w:sz w:val="18"/>
        </w:rPr>
        <w:t> </w:t>
      </w:r>
      <w:r>
        <w:rPr>
          <w:sz w:val="18"/>
        </w:rPr>
        <w:t>used.</w:t>
      </w:r>
    </w:p>
    <w:p>
      <w:pPr>
        <w:spacing w:after="0" w:line="240" w:lineRule="auto"/>
        <w:jc w:val="both"/>
        <w:rPr>
          <w:sz w:val="18"/>
        </w:rPr>
        <w:sectPr>
          <w:pgSz w:w="11910" w:h="16840"/>
          <w:pgMar w:header="856" w:footer="865" w:top="1540" w:bottom="1000" w:left="1100" w:right="1000"/>
        </w:sectPr>
      </w:pPr>
    </w:p>
    <w:p>
      <w:pPr>
        <w:pStyle w:val="ListParagraph"/>
        <w:numPr>
          <w:ilvl w:val="3"/>
          <w:numId w:val="11"/>
        </w:numPr>
        <w:tabs>
          <w:tab w:pos="1171" w:val="left" w:leader="none"/>
        </w:tabs>
        <w:spacing w:line="240" w:lineRule="auto" w:before="88" w:after="0"/>
        <w:ind w:left="318" w:right="412" w:firstLine="0"/>
        <w:jc w:val="both"/>
        <w:rPr>
          <w:sz w:val="22"/>
        </w:rPr>
      </w:pPr>
      <w:r>
        <w:rPr>
          <w:position w:val="2"/>
          <w:sz w:val="22"/>
        </w:rPr>
        <w:t>For a 15-minute period in any 12-hour period, the continuous PAH</w:t>
      </w:r>
      <w:r>
        <w:rPr>
          <w:sz w:val="14"/>
        </w:rPr>
        <w:t>phe </w:t>
      </w:r>
      <w:r>
        <w:rPr>
          <w:position w:val="2"/>
          <w:sz w:val="22"/>
        </w:rPr>
        <w:t>concentration</w:t>
      </w:r>
      <w:r>
        <w:rPr>
          <w:sz w:val="22"/>
        </w:rPr>
        <w:t> limit may exceed the limit described above by up to 100%. This would allow for an abnormal start-up of the EGC</w:t>
      </w:r>
      <w:r>
        <w:rPr>
          <w:spacing w:val="-6"/>
          <w:sz w:val="22"/>
        </w:rPr>
        <w:t> </w:t>
      </w:r>
      <w:r>
        <w:rPr>
          <w:sz w:val="22"/>
        </w:rPr>
        <w:t>unit.</w:t>
      </w:r>
    </w:p>
    <w:p>
      <w:pPr>
        <w:pStyle w:val="BodyText"/>
        <w:spacing w:before="10"/>
        <w:rPr>
          <w:sz w:val="21"/>
        </w:rPr>
      </w:pPr>
    </w:p>
    <w:p>
      <w:pPr>
        <w:pStyle w:val="Heading2"/>
        <w:numPr>
          <w:ilvl w:val="2"/>
          <w:numId w:val="2"/>
        </w:numPr>
        <w:tabs>
          <w:tab w:pos="1171" w:val="left" w:leader="none"/>
        </w:tabs>
        <w:spacing w:line="240" w:lineRule="auto" w:before="0" w:after="0"/>
        <w:ind w:left="1170" w:right="0" w:hanging="853"/>
        <w:jc w:val="both"/>
        <w:rPr>
          <w:i/>
        </w:rPr>
      </w:pPr>
      <w:r>
        <w:rPr>
          <w:i/>
        </w:rPr>
        <w:t>Turbidity/Suspended Particle</w:t>
      </w:r>
      <w:r>
        <w:rPr>
          <w:i/>
          <w:spacing w:val="-5"/>
        </w:rPr>
        <w:t> </w:t>
      </w:r>
      <w:r>
        <w:rPr>
          <w:i/>
        </w:rPr>
        <w:t>Matter</w:t>
      </w:r>
    </w:p>
    <w:p>
      <w:pPr>
        <w:pStyle w:val="BodyText"/>
        <w:spacing w:before="1"/>
        <w:rPr>
          <w:b/>
          <w:i/>
        </w:rPr>
      </w:pPr>
    </w:p>
    <w:p>
      <w:pPr>
        <w:pStyle w:val="ListParagraph"/>
        <w:numPr>
          <w:ilvl w:val="3"/>
          <w:numId w:val="12"/>
        </w:numPr>
        <w:tabs>
          <w:tab w:pos="1171" w:val="left" w:leader="none"/>
        </w:tabs>
        <w:spacing w:line="240" w:lineRule="auto" w:before="0" w:after="0"/>
        <w:ind w:left="318" w:right="418" w:firstLine="0"/>
        <w:jc w:val="both"/>
        <w:rPr>
          <w:sz w:val="22"/>
        </w:rPr>
      </w:pPr>
      <w:r>
        <w:rPr>
          <w:sz w:val="22"/>
        </w:rPr>
        <w:t>The washwater turbidity should comply with the following requirements. The limit should be recorded in the ETM-A or</w:t>
      </w:r>
      <w:r>
        <w:rPr>
          <w:spacing w:val="-4"/>
          <w:sz w:val="22"/>
        </w:rPr>
        <w:t> </w:t>
      </w:r>
      <w:r>
        <w:rPr>
          <w:sz w:val="22"/>
        </w:rPr>
        <w:t>ETM-B.</w:t>
      </w:r>
    </w:p>
    <w:p>
      <w:pPr>
        <w:pStyle w:val="BodyText"/>
        <w:spacing w:before="11"/>
        <w:rPr>
          <w:sz w:val="21"/>
        </w:rPr>
      </w:pPr>
    </w:p>
    <w:p>
      <w:pPr>
        <w:pStyle w:val="ListParagraph"/>
        <w:numPr>
          <w:ilvl w:val="3"/>
          <w:numId w:val="12"/>
        </w:numPr>
        <w:tabs>
          <w:tab w:pos="1171" w:val="left" w:leader="none"/>
        </w:tabs>
        <w:spacing w:line="240" w:lineRule="auto" w:before="0" w:after="0"/>
        <w:ind w:left="318" w:right="415" w:firstLine="0"/>
        <w:jc w:val="both"/>
        <w:rPr>
          <w:sz w:val="22"/>
        </w:rPr>
      </w:pPr>
      <w:r>
        <w:rPr>
          <w:sz w:val="22"/>
        </w:rPr>
        <w:t>The washwater treatment system should be designed to minimize suspended particulate matter, including heavy metals and</w:t>
      </w:r>
      <w:r>
        <w:rPr>
          <w:spacing w:val="-7"/>
          <w:sz w:val="22"/>
        </w:rPr>
        <w:t> </w:t>
      </w:r>
      <w:r>
        <w:rPr>
          <w:sz w:val="22"/>
        </w:rPr>
        <w:t>ash.</w:t>
      </w:r>
    </w:p>
    <w:p>
      <w:pPr>
        <w:pStyle w:val="BodyText"/>
        <w:spacing w:before="10"/>
        <w:rPr>
          <w:sz w:val="21"/>
        </w:rPr>
      </w:pPr>
    </w:p>
    <w:p>
      <w:pPr>
        <w:pStyle w:val="ListParagraph"/>
        <w:numPr>
          <w:ilvl w:val="3"/>
          <w:numId w:val="12"/>
        </w:numPr>
        <w:tabs>
          <w:tab w:pos="1171" w:val="left" w:leader="none"/>
        </w:tabs>
        <w:spacing w:line="240" w:lineRule="auto" w:before="1" w:after="0"/>
        <w:ind w:left="318" w:right="411" w:firstLine="0"/>
        <w:jc w:val="both"/>
        <w:rPr>
          <w:sz w:val="22"/>
        </w:rPr>
      </w:pPr>
      <w:r>
        <w:rPr>
          <w:sz w:val="22"/>
        </w:rPr>
        <w:t>The maximum continuous turbidity in washwater should not be greater than 25 FNU (formazin nephlometric units) or 25 NTU (nephlometric turbidity units) or equivalent units, above the inlet water turbidity. However, during periods of high inlet turbidity, the precision of the measurement device and the time lapse between inlet measurement and outlet measurement are such that the use of a difference limit is unreliable. Therefore all turbidity difference readings should be a rolling average over a 15-minute period to a maximum of    25 FNU. For the purposes of this criteria the turbidity in the washwater should be measured downstream of the water treatment equipment but upstream of washwater dilution (or other reactant dosing) prior to</w:t>
      </w:r>
      <w:r>
        <w:rPr>
          <w:spacing w:val="-1"/>
          <w:sz w:val="22"/>
        </w:rPr>
        <w:t> </w:t>
      </w:r>
      <w:r>
        <w:rPr>
          <w:sz w:val="22"/>
        </w:rPr>
        <w:t>discharge.</w:t>
      </w:r>
    </w:p>
    <w:p>
      <w:pPr>
        <w:pStyle w:val="BodyText"/>
      </w:pPr>
    </w:p>
    <w:p>
      <w:pPr>
        <w:pStyle w:val="ListParagraph"/>
        <w:numPr>
          <w:ilvl w:val="3"/>
          <w:numId w:val="12"/>
        </w:numPr>
        <w:tabs>
          <w:tab w:pos="1279" w:val="left" w:leader="none"/>
        </w:tabs>
        <w:spacing w:line="240" w:lineRule="auto" w:before="0" w:after="0"/>
        <w:ind w:left="318" w:right="413" w:firstLine="0"/>
        <w:jc w:val="both"/>
        <w:rPr>
          <w:sz w:val="22"/>
        </w:rPr>
      </w:pPr>
      <w:r>
        <w:rPr>
          <w:sz w:val="22"/>
        </w:rPr>
        <w:t>For a 15-minute period in any 12-hour period, the continuous turbidity discharge limit may be exceeded by</w:t>
      </w:r>
      <w:r>
        <w:rPr>
          <w:spacing w:val="-5"/>
          <w:sz w:val="22"/>
        </w:rPr>
        <w:t> </w:t>
      </w:r>
      <w:r>
        <w:rPr>
          <w:sz w:val="22"/>
        </w:rPr>
        <w:t>20%.</w:t>
      </w:r>
    </w:p>
    <w:p>
      <w:pPr>
        <w:pStyle w:val="BodyText"/>
        <w:spacing w:before="11"/>
        <w:rPr>
          <w:sz w:val="21"/>
        </w:rPr>
      </w:pPr>
    </w:p>
    <w:p>
      <w:pPr>
        <w:pStyle w:val="Heading2"/>
        <w:numPr>
          <w:ilvl w:val="2"/>
          <w:numId w:val="2"/>
        </w:numPr>
        <w:tabs>
          <w:tab w:pos="1171" w:val="left" w:leader="none"/>
        </w:tabs>
        <w:spacing w:line="240" w:lineRule="auto" w:before="0" w:after="0"/>
        <w:ind w:left="1170" w:right="0" w:hanging="853"/>
        <w:jc w:val="both"/>
        <w:rPr>
          <w:i/>
        </w:rPr>
      </w:pPr>
      <w:r>
        <w:rPr>
          <w:i/>
        </w:rPr>
        <w:t>Nitrates</w:t>
      </w:r>
    </w:p>
    <w:p>
      <w:pPr>
        <w:pStyle w:val="BodyText"/>
        <w:spacing w:before="2"/>
        <w:rPr>
          <w:b/>
          <w:i/>
        </w:rPr>
      </w:pPr>
    </w:p>
    <w:p>
      <w:pPr>
        <w:pStyle w:val="ListParagraph"/>
        <w:numPr>
          <w:ilvl w:val="3"/>
          <w:numId w:val="13"/>
        </w:numPr>
        <w:tabs>
          <w:tab w:pos="1171" w:val="left" w:leader="none"/>
        </w:tabs>
        <w:spacing w:line="237" w:lineRule="auto" w:before="1" w:after="0"/>
        <w:ind w:left="318" w:right="415" w:firstLine="0"/>
        <w:jc w:val="both"/>
        <w:rPr>
          <w:sz w:val="22"/>
        </w:rPr>
      </w:pPr>
      <w:r>
        <w:rPr>
          <w:sz w:val="22"/>
        </w:rPr>
        <w:t>The washwater treatment system should prevent the discharge of nitrates beyond</w:t>
      </w:r>
      <w:r>
        <w:rPr>
          <w:position w:val="2"/>
          <w:sz w:val="22"/>
        </w:rPr>
        <w:t> that associated with a 12% removal of NO</w:t>
      </w:r>
      <w:r>
        <w:rPr>
          <w:sz w:val="14"/>
        </w:rPr>
        <w:t>X </w:t>
      </w:r>
      <w:r>
        <w:rPr>
          <w:position w:val="2"/>
          <w:sz w:val="22"/>
        </w:rPr>
        <w:t>from the exhaust, or beyond 60 mg/l normalized</w:t>
      </w:r>
      <w:r>
        <w:rPr>
          <w:sz w:val="22"/>
        </w:rPr>
        <w:t> for washwater discharge rate of 45 tons/MWh whichever is</w:t>
      </w:r>
      <w:r>
        <w:rPr>
          <w:spacing w:val="-11"/>
          <w:sz w:val="22"/>
        </w:rPr>
        <w:t> </w:t>
      </w:r>
      <w:r>
        <w:rPr>
          <w:sz w:val="22"/>
        </w:rPr>
        <w:t>greater.</w:t>
      </w:r>
    </w:p>
    <w:p>
      <w:pPr>
        <w:pStyle w:val="BodyText"/>
        <w:spacing w:before="3"/>
      </w:pPr>
    </w:p>
    <w:p>
      <w:pPr>
        <w:pStyle w:val="ListParagraph"/>
        <w:numPr>
          <w:ilvl w:val="3"/>
          <w:numId w:val="13"/>
        </w:numPr>
        <w:tabs>
          <w:tab w:pos="1171" w:val="left" w:leader="none"/>
        </w:tabs>
        <w:spacing w:line="240" w:lineRule="auto" w:before="0" w:after="0"/>
        <w:ind w:left="318" w:right="412" w:firstLine="0"/>
        <w:jc w:val="both"/>
        <w:rPr>
          <w:sz w:val="22"/>
        </w:rPr>
      </w:pPr>
      <w:r>
        <w:rPr>
          <w:sz w:val="22"/>
        </w:rPr>
        <w:t>At each renewal survey nitrate discharge data is to be available in respect of sample overboard discharge drawn from each EGC system with the previous three months prior to the survey. However, the Administration may require an additional sample to be drawn and analysed at their discretion. The nitrate discharge data and analysis certificate is to be retained on board the ship as part of the EGC Record Book and be available for inspection as required by port State control or other parties. Requirements in respect of sampling, storage, handling and analysis should be detailed in the ETM-A or ETM-B as applicable. To assure comparable nitrate discharge rate assessment, the sampling procedures should take into account paragraph 10.1.5.1, which specifies the need for washwater flow normalization. The test method for the analysis of nitrates should be according to standard seawater analysis as described in Grasshoff et</w:t>
      </w:r>
      <w:r>
        <w:rPr>
          <w:spacing w:val="3"/>
          <w:sz w:val="22"/>
        </w:rPr>
        <w:t> </w:t>
      </w:r>
      <w:r>
        <w:rPr>
          <w:sz w:val="22"/>
        </w:rPr>
        <w:t>al.</w:t>
      </w:r>
    </w:p>
    <w:p>
      <w:pPr>
        <w:pStyle w:val="BodyText"/>
      </w:pPr>
    </w:p>
    <w:p>
      <w:pPr>
        <w:pStyle w:val="ListParagraph"/>
        <w:numPr>
          <w:ilvl w:val="3"/>
          <w:numId w:val="13"/>
        </w:numPr>
        <w:tabs>
          <w:tab w:pos="1171" w:val="left" w:leader="none"/>
        </w:tabs>
        <w:spacing w:line="240" w:lineRule="auto" w:before="1" w:after="0"/>
        <w:ind w:left="318" w:right="418" w:firstLine="0"/>
        <w:jc w:val="both"/>
        <w:rPr>
          <w:sz w:val="22"/>
        </w:rPr>
      </w:pPr>
      <w:r>
        <w:rPr>
          <w:sz w:val="22"/>
        </w:rPr>
        <w:t>All systems should be tested for nitrates in the discharge water. If typical nitrate amounts are above 80% of the upper limit, it should be recorded in the ETM-A or</w:t>
      </w:r>
      <w:r>
        <w:rPr>
          <w:spacing w:val="-16"/>
          <w:sz w:val="22"/>
        </w:rPr>
        <w:t> </w:t>
      </w:r>
      <w:r>
        <w:rPr>
          <w:sz w:val="22"/>
        </w:rPr>
        <w:t>ETM-B.</w:t>
      </w:r>
    </w:p>
    <w:p>
      <w:pPr>
        <w:pStyle w:val="BodyText"/>
        <w:spacing w:before="11"/>
        <w:rPr>
          <w:sz w:val="21"/>
        </w:rPr>
      </w:pPr>
    </w:p>
    <w:p>
      <w:pPr>
        <w:pStyle w:val="Heading2"/>
        <w:numPr>
          <w:ilvl w:val="2"/>
          <w:numId w:val="2"/>
        </w:numPr>
        <w:tabs>
          <w:tab w:pos="1171" w:val="left" w:leader="none"/>
        </w:tabs>
        <w:spacing w:line="240" w:lineRule="auto" w:before="0" w:after="0"/>
        <w:ind w:left="1170" w:right="0" w:hanging="853"/>
        <w:jc w:val="both"/>
        <w:rPr>
          <w:i/>
        </w:rPr>
      </w:pPr>
      <w:r>
        <w:rPr>
          <w:i/>
        </w:rPr>
        <w:t>Washwater additives and other</w:t>
      </w:r>
      <w:r>
        <w:rPr>
          <w:i/>
          <w:spacing w:val="-6"/>
        </w:rPr>
        <w:t> </w:t>
      </w:r>
      <w:r>
        <w:rPr>
          <w:i/>
        </w:rPr>
        <w:t>substances</w:t>
      </w:r>
    </w:p>
    <w:p>
      <w:pPr>
        <w:pStyle w:val="BodyText"/>
        <w:rPr>
          <w:b/>
          <w:i/>
        </w:rPr>
      </w:pPr>
    </w:p>
    <w:p>
      <w:pPr>
        <w:spacing w:before="1"/>
        <w:ind w:left="318" w:right="412" w:firstLine="0"/>
        <w:jc w:val="both"/>
        <w:rPr>
          <w:sz w:val="22"/>
        </w:rPr>
      </w:pPr>
      <w:r>
        <w:rPr>
          <w:sz w:val="22"/>
        </w:rPr>
        <w:t>An assessment of the washwater is required for those EGC technologies which make use of chemicals, additives, preparations or create relevant chemicals in situ. The assessment could take into account relevant guidelines such as the </w:t>
      </w:r>
      <w:r>
        <w:rPr>
          <w:i/>
          <w:sz w:val="22"/>
        </w:rPr>
        <w:t>Procedure for approval of ballast </w:t>
      </w:r>
      <w:r>
        <w:rPr>
          <w:i/>
          <w:sz w:val="22"/>
        </w:rPr>
        <w:t>water management systems that make use of active substances (G9) </w:t>
      </w:r>
      <w:r>
        <w:rPr>
          <w:sz w:val="22"/>
        </w:rPr>
        <w:t>(resolution MEPC.126(53)), and, if necessary, additional washwater discharge criteria should be established.</w:t>
      </w:r>
    </w:p>
    <w:p>
      <w:pPr>
        <w:spacing w:after="0"/>
        <w:jc w:val="both"/>
        <w:rPr>
          <w:sz w:val="22"/>
        </w:rPr>
        <w:sectPr>
          <w:pgSz w:w="11910" w:h="16840"/>
          <w:pgMar w:header="856" w:footer="805" w:top="1540" w:bottom="1060" w:left="1100" w:right="1000"/>
        </w:sectPr>
      </w:pPr>
    </w:p>
    <w:p>
      <w:pPr>
        <w:pStyle w:val="Heading1"/>
        <w:numPr>
          <w:ilvl w:val="1"/>
          <w:numId w:val="14"/>
        </w:numPr>
        <w:tabs>
          <w:tab w:pos="1171" w:val="left" w:leader="none"/>
        </w:tabs>
        <w:spacing w:line="240" w:lineRule="auto" w:before="86" w:after="0"/>
        <w:ind w:left="1170" w:right="0" w:hanging="853"/>
        <w:jc w:val="both"/>
      </w:pPr>
      <w:r>
        <w:rPr/>
        <w:t>Washwater</w:t>
      </w:r>
      <w:r>
        <w:rPr>
          <w:spacing w:val="-3"/>
        </w:rPr>
        <w:t> </w:t>
      </w:r>
      <w:r>
        <w:rPr/>
        <w:t>monitoring</w:t>
      </w:r>
    </w:p>
    <w:p>
      <w:pPr>
        <w:pStyle w:val="BodyText"/>
        <w:spacing w:before="3"/>
        <w:rPr>
          <w:b/>
        </w:rPr>
      </w:pPr>
    </w:p>
    <w:p>
      <w:pPr>
        <w:pStyle w:val="ListParagraph"/>
        <w:numPr>
          <w:ilvl w:val="2"/>
          <w:numId w:val="14"/>
        </w:numPr>
        <w:tabs>
          <w:tab w:pos="1171" w:val="left" w:leader="none"/>
        </w:tabs>
        <w:spacing w:line="240" w:lineRule="auto" w:before="0" w:after="0"/>
        <w:ind w:left="318" w:right="415" w:firstLine="0"/>
        <w:jc w:val="both"/>
        <w:rPr>
          <w:sz w:val="22"/>
        </w:rPr>
      </w:pPr>
      <w:r>
        <w:rPr>
          <w:sz w:val="22"/>
        </w:rPr>
        <w:t>pH, oil content (as measured by PAH levels), and turbidity should be continuously monitored and recorded as recommended in section 7 of these guidelines. The monitoring equipment should also meet the performance criteria described</w:t>
      </w:r>
      <w:r>
        <w:rPr>
          <w:spacing w:val="-10"/>
          <w:sz w:val="22"/>
        </w:rPr>
        <w:t> </w:t>
      </w:r>
      <w:r>
        <w:rPr>
          <w:sz w:val="22"/>
        </w:rPr>
        <w:t>below:</w:t>
      </w:r>
    </w:p>
    <w:p>
      <w:pPr>
        <w:pStyle w:val="BodyText"/>
        <w:spacing w:before="1"/>
      </w:pPr>
    </w:p>
    <w:p>
      <w:pPr>
        <w:pStyle w:val="Heading2"/>
        <w:ind w:left="318" w:firstLine="0"/>
        <w:jc w:val="left"/>
        <w:rPr>
          <w:i/>
        </w:rPr>
      </w:pPr>
      <w:r>
        <w:rPr>
          <w:i/>
        </w:rPr>
        <w:t>pH</w:t>
      </w:r>
    </w:p>
    <w:p>
      <w:pPr>
        <w:pStyle w:val="BodyText"/>
        <w:spacing w:before="1"/>
        <w:rPr>
          <w:b/>
          <w:i/>
        </w:rPr>
      </w:pPr>
    </w:p>
    <w:p>
      <w:pPr>
        <w:pStyle w:val="ListParagraph"/>
        <w:numPr>
          <w:ilvl w:val="2"/>
          <w:numId w:val="14"/>
        </w:numPr>
        <w:tabs>
          <w:tab w:pos="1171" w:val="left" w:leader="none"/>
        </w:tabs>
        <w:spacing w:line="240" w:lineRule="auto" w:before="0" w:after="0"/>
        <w:ind w:left="318" w:right="416" w:firstLine="0"/>
        <w:jc w:val="both"/>
        <w:rPr>
          <w:sz w:val="22"/>
        </w:rPr>
      </w:pPr>
      <w:r>
        <w:rPr>
          <w:sz w:val="22"/>
        </w:rPr>
        <w:t>The pH electrode and pH meter should have a resolution of 0.1 pH units and temperature compensation. The electrode should comply with the requirements defined in BS 2586 or of equivalent or better  performance  and  the meter  should  meet  or  exceed  BS EN ISO</w:t>
      </w:r>
      <w:r>
        <w:rPr>
          <w:spacing w:val="-2"/>
          <w:sz w:val="22"/>
        </w:rPr>
        <w:t> </w:t>
      </w:r>
      <w:r>
        <w:rPr>
          <w:sz w:val="22"/>
        </w:rPr>
        <w:t>60746-2:2003.</w:t>
      </w:r>
    </w:p>
    <w:p>
      <w:pPr>
        <w:pStyle w:val="BodyText"/>
        <w:spacing w:before="11"/>
        <w:rPr>
          <w:sz w:val="21"/>
        </w:rPr>
      </w:pPr>
    </w:p>
    <w:p>
      <w:pPr>
        <w:pStyle w:val="Heading2"/>
        <w:ind w:left="318" w:firstLine="0"/>
        <w:jc w:val="left"/>
        <w:rPr>
          <w:i/>
        </w:rPr>
      </w:pPr>
      <w:r>
        <w:rPr>
          <w:i/>
        </w:rPr>
        <w:t>PAH</w:t>
      </w:r>
    </w:p>
    <w:p>
      <w:pPr>
        <w:pStyle w:val="BodyText"/>
        <w:spacing w:before="9"/>
        <w:rPr>
          <w:b/>
          <w:i/>
          <w:sz w:val="21"/>
        </w:rPr>
      </w:pPr>
    </w:p>
    <w:p>
      <w:pPr>
        <w:pStyle w:val="ListParagraph"/>
        <w:numPr>
          <w:ilvl w:val="2"/>
          <w:numId w:val="14"/>
        </w:numPr>
        <w:tabs>
          <w:tab w:pos="1171" w:val="left" w:leader="none"/>
        </w:tabs>
        <w:spacing w:line="240" w:lineRule="auto" w:before="1" w:after="0"/>
        <w:ind w:left="318" w:right="411" w:firstLine="0"/>
        <w:jc w:val="both"/>
        <w:rPr>
          <w:sz w:val="22"/>
        </w:rPr>
      </w:pPr>
      <w:r>
        <w:rPr>
          <w:sz w:val="22"/>
        </w:rPr>
        <w:t>The PAH monitoring equipment should be capable to monitor PAH in water in a range to at least twice the discharge concentration limit given in the table above. The equipment should be demonstrated to operate correctly and not deviate more than 5% in washwater with turbidity within the working range of the</w:t>
      </w:r>
      <w:r>
        <w:rPr>
          <w:spacing w:val="-6"/>
          <w:sz w:val="22"/>
        </w:rPr>
        <w:t> </w:t>
      </w:r>
      <w:r>
        <w:rPr>
          <w:sz w:val="22"/>
        </w:rPr>
        <w:t>application.</w:t>
      </w:r>
    </w:p>
    <w:p>
      <w:pPr>
        <w:pStyle w:val="BodyText"/>
      </w:pPr>
    </w:p>
    <w:p>
      <w:pPr>
        <w:pStyle w:val="ListParagraph"/>
        <w:numPr>
          <w:ilvl w:val="2"/>
          <w:numId w:val="14"/>
        </w:numPr>
        <w:tabs>
          <w:tab w:pos="1171" w:val="left" w:leader="none"/>
        </w:tabs>
        <w:spacing w:line="240" w:lineRule="auto" w:before="0" w:after="0"/>
        <w:ind w:left="318" w:right="412" w:firstLine="0"/>
        <w:jc w:val="both"/>
        <w:rPr>
          <w:sz w:val="22"/>
        </w:rPr>
      </w:pPr>
      <w:r>
        <w:rPr>
          <w:sz w:val="22"/>
        </w:rPr>
        <w:t>For those applications discharging at lower flow rates and higher PAH concentrations, ultraviolet light monitoring technology or equivalent, should be used due to its reliable operating range.</w:t>
      </w:r>
    </w:p>
    <w:p>
      <w:pPr>
        <w:pStyle w:val="BodyText"/>
        <w:spacing w:before="1"/>
      </w:pPr>
    </w:p>
    <w:p>
      <w:pPr>
        <w:pStyle w:val="Heading2"/>
        <w:ind w:left="318" w:firstLine="0"/>
        <w:jc w:val="left"/>
        <w:rPr>
          <w:i/>
        </w:rPr>
      </w:pPr>
      <w:r>
        <w:rPr>
          <w:i/>
        </w:rPr>
        <w:t>Turbidity</w:t>
      </w:r>
    </w:p>
    <w:p>
      <w:pPr>
        <w:pStyle w:val="BodyText"/>
        <w:rPr>
          <w:b/>
          <w:i/>
        </w:rPr>
      </w:pPr>
    </w:p>
    <w:p>
      <w:pPr>
        <w:pStyle w:val="ListParagraph"/>
        <w:numPr>
          <w:ilvl w:val="2"/>
          <w:numId w:val="14"/>
        </w:numPr>
        <w:tabs>
          <w:tab w:pos="1171" w:val="left" w:leader="none"/>
        </w:tabs>
        <w:spacing w:line="240" w:lineRule="auto" w:before="1" w:after="0"/>
        <w:ind w:left="318" w:right="414" w:firstLine="0"/>
        <w:jc w:val="both"/>
        <w:rPr>
          <w:sz w:val="22"/>
        </w:rPr>
      </w:pPr>
      <w:r>
        <w:rPr>
          <w:sz w:val="22"/>
        </w:rPr>
        <w:t>The  turbidity  monitoring  equipment   should   meet   requirements   defined   in ISO 7027:1999 or USEPA</w:t>
      </w:r>
      <w:r>
        <w:rPr>
          <w:spacing w:val="-4"/>
          <w:sz w:val="22"/>
        </w:rPr>
        <w:t> </w:t>
      </w:r>
      <w:r>
        <w:rPr>
          <w:sz w:val="22"/>
        </w:rPr>
        <w:t>180.1.</w:t>
      </w:r>
    </w:p>
    <w:p>
      <w:pPr>
        <w:pStyle w:val="BodyText"/>
        <w:spacing w:before="8"/>
        <w:rPr>
          <w:sz w:val="21"/>
        </w:rPr>
      </w:pPr>
    </w:p>
    <w:p>
      <w:pPr>
        <w:pStyle w:val="Heading1"/>
        <w:numPr>
          <w:ilvl w:val="1"/>
          <w:numId w:val="14"/>
        </w:numPr>
        <w:tabs>
          <w:tab w:pos="1171" w:val="left" w:leader="none"/>
        </w:tabs>
        <w:spacing w:line="240" w:lineRule="auto" w:before="0" w:after="0"/>
        <w:ind w:left="1170" w:right="0" w:hanging="853"/>
        <w:jc w:val="both"/>
      </w:pPr>
      <w:r>
        <w:rPr/>
        <w:t>Washwater monitoring data</w:t>
      </w:r>
      <w:r>
        <w:rPr>
          <w:spacing w:val="-5"/>
        </w:rPr>
        <w:t> </w:t>
      </w:r>
      <w:r>
        <w:rPr/>
        <w:t>recording</w:t>
      </w:r>
    </w:p>
    <w:p>
      <w:pPr>
        <w:pStyle w:val="BodyText"/>
        <w:spacing w:before="3"/>
        <w:rPr>
          <w:b/>
        </w:rPr>
      </w:pPr>
    </w:p>
    <w:p>
      <w:pPr>
        <w:pStyle w:val="BodyText"/>
        <w:ind w:left="318" w:right="413"/>
      </w:pPr>
      <w:r>
        <w:rPr/>
        <w:t>The data recording system should comply with the requirements of sections 7 and 8 and should continuously record pH, PAH and Turbidity as specified in the washwater criteria.</w:t>
      </w:r>
    </w:p>
    <w:p>
      <w:pPr>
        <w:pStyle w:val="BodyText"/>
        <w:spacing w:before="9"/>
        <w:rPr>
          <w:sz w:val="21"/>
        </w:rPr>
      </w:pPr>
    </w:p>
    <w:p>
      <w:pPr>
        <w:pStyle w:val="Heading1"/>
        <w:numPr>
          <w:ilvl w:val="1"/>
          <w:numId w:val="14"/>
        </w:numPr>
        <w:tabs>
          <w:tab w:pos="1171" w:val="left" w:leader="none"/>
        </w:tabs>
        <w:spacing w:line="240" w:lineRule="auto" w:before="0" w:after="0"/>
        <w:ind w:left="1170" w:right="0" w:hanging="853"/>
        <w:jc w:val="both"/>
      </w:pPr>
      <w:r>
        <w:rPr/>
        <w:t>Washwater</w:t>
      </w:r>
      <w:r>
        <w:rPr>
          <w:spacing w:val="-2"/>
        </w:rPr>
        <w:t> </w:t>
      </w:r>
      <w:r>
        <w:rPr/>
        <w:t>residue</w:t>
      </w:r>
    </w:p>
    <w:p>
      <w:pPr>
        <w:pStyle w:val="BodyText"/>
        <w:spacing w:before="3"/>
        <w:rPr>
          <w:b/>
        </w:rPr>
      </w:pPr>
    </w:p>
    <w:p>
      <w:pPr>
        <w:pStyle w:val="ListParagraph"/>
        <w:numPr>
          <w:ilvl w:val="2"/>
          <w:numId w:val="14"/>
        </w:numPr>
        <w:tabs>
          <w:tab w:pos="1171" w:val="left" w:leader="none"/>
        </w:tabs>
        <w:spacing w:line="240" w:lineRule="auto" w:before="0" w:after="0"/>
        <w:ind w:left="318" w:right="414" w:firstLine="0"/>
        <w:jc w:val="both"/>
        <w:rPr>
          <w:sz w:val="22"/>
        </w:rPr>
      </w:pPr>
      <w:r>
        <w:rPr>
          <w:sz w:val="22"/>
        </w:rPr>
        <w:t>Residues generated by the EGC unit should be delivered ashore to adequate reception facilities. Such residues should not be discharged to the sea or incinerated on board.</w:t>
      </w:r>
    </w:p>
    <w:p>
      <w:pPr>
        <w:pStyle w:val="BodyText"/>
      </w:pPr>
    </w:p>
    <w:p>
      <w:pPr>
        <w:pStyle w:val="ListParagraph"/>
        <w:numPr>
          <w:ilvl w:val="2"/>
          <w:numId w:val="14"/>
        </w:numPr>
        <w:tabs>
          <w:tab w:pos="1171" w:val="left" w:leader="none"/>
        </w:tabs>
        <w:spacing w:line="240" w:lineRule="auto" w:before="1" w:after="0"/>
        <w:ind w:left="318" w:right="414" w:firstLine="0"/>
        <w:jc w:val="both"/>
        <w:rPr>
          <w:sz w:val="22"/>
        </w:rPr>
      </w:pPr>
      <w:r>
        <w:rPr>
          <w:sz w:val="22"/>
        </w:rPr>
        <w:t>Each ship fitted with an EGC unit should record the storage and disposal of washwater residues in an EGC log, including the date, time and location of such storage and disposal. The EGC log may form a part of an existing log-book or electronic recording system as approved by the</w:t>
      </w:r>
      <w:r>
        <w:rPr>
          <w:spacing w:val="-5"/>
          <w:sz w:val="22"/>
        </w:rPr>
        <w:t> </w:t>
      </w:r>
      <w:r>
        <w:rPr>
          <w:sz w:val="22"/>
        </w:rPr>
        <w:t>Administration.</w:t>
      </w:r>
    </w:p>
    <w:p>
      <w:pPr>
        <w:spacing w:after="0" w:line="240" w:lineRule="auto"/>
        <w:jc w:val="both"/>
        <w:rPr>
          <w:sz w:val="22"/>
        </w:rPr>
        <w:sectPr>
          <w:pgSz w:w="11910" w:h="16840"/>
          <w:pgMar w:header="856" w:footer="865" w:top="1540" w:bottom="1000" w:left="1100" w:right="1000"/>
        </w:sectPr>
      </w:pPr>
    </w:p>
    <w:p>
      <w:pPr>
        <w:pStyle w:val="BodyText"/>
        <w:spacing w:before="89"/>
        <w:ind w:left="327" w:right="422"/>
        <w:jc w:val="center"/>
      </w:pPr>
      <w:r>
        <w:rPr/>
        <w:t>APPENDIX 1</w:t>
      </w:r>
    </w:p>
    <w:p>
      <w:pPr>
        <w:pStyle w:val="BodyText"/>
        <w:spacing w:before="9"/>
        <w:rPr>
          <w:sz w:val="21"/>
        </w:rPr>
      </w:pPr>
    </w:p>
    <w:p>
      <w:pPr>
        <w:pStyle w:val="Heading1"/>
        <w:ind w:left="327" w:right="429" w:firstLine="0"/>
        <w:jc w:val="center"/>
      </w:pPr>
      <w:r>
        <w:rPr/>
        <w:pict>
          <v:group style="position:absolute;margin-left:70.724998pt;margin-top:22.102888pt;width:63.45pt;height:58.6pt;mso-position-horizontal-relative:page;mso-position-vertical-relative:paragraph;z-index:251661312" coordorigin="1414,442" coordsize="1269,1172">
            <v:shape style="position:absolute;left:1422;top:449;width:1254;height:1157" coordorigin="1422,450" coordsize="1254,1157" path="m2049,450l1970,454,1895,467,1822,488,1754,517,1691,553,1633,596,1580,644,1534,698,1495,756,1464,819,1441,886,1427,955,1422,1028,1427,1101,1441,1170,1464,1237,1495,1300,1534,1359,1580,1412,1633,1461,1691,1503,1754,1539,1822,1568,1895,1589,1970,1602,2049,1607,2128,1602,2203,1589,2276,1568,2344,1539,2407,1503,2465,1461,2518,1412,2564,1359,2603,1300,2634,1237,2657,1170,2671,1101,2676,1028,2671,955,2657,886,2634,819,2603,756,2564,698,2518,644,2465,596,2407,553,2344,517,2276,488,2203,467,2128,454,2049,450xe" filled="false" stroked="true" strokeweight=".75pt" strokecolor="#000000">
              <v:path arrowok="t"/>
              <v:stroke dashstyle="solid"/>
            </v:shape>
            <v:shape style="position:absolute;left:1414;top:442;width:1269;height:1172" type="#_x0000_t202" filled="false" stroked="false">
              <v:textbox inset="0,0,0,0">
                <w:txbxContent>
                  <w:p>
                    <w:pPr>
                      <w:spacing w:line="240" w:lineRule="auto" w:before="2"/>
                      <w:rPr>
                        <w:sz w:val="20"/>
                      </w:rPr>
                    </w:pPr>
                  </w:p>
                  <w:p>
                    <w:pPr>
                      <w:spacing w:line="240" w:lineRule="auto" w:before="0"/>
                      <w:ind w:left="369" w:right="365" w:hanging="1"/>
                      <w:jc w:val="center"/>
                      <w:rPr>
                        <w:sz w:val="18"/>
                      </w:rPr>
                    </w:pPr>
                    <w:r>
                      <w:rPr>
                        <w:sz w:val="18"/>
                      </w:rPr>
                      <w:t>Badge or Cipher</w:t>
                    </w:r>
                  </w:p>
                </w:txbxContent>
              </v:textbox>
              <w10:wrap type="none"/>
            </v:shape>
            <w10:wrap type="none"/>
          </v:group>
        </w:pict>
      </w:r>
      <w:r>
        <w:rPr>
          <w:position w:val="2"/>
        </w:rPr>
        <w:t>FORM OF SO</w:t>
      </w:r>
      <w:r>
        <w:rPr>
          <w:sz w:val="14"/>
        </w:rPr>
        <w:t>X </w:t>
      </w:r>
      <w:r>
        <w:rPr>
          <w:position w:val="2"/>
        </w:rPr>
        <w:t>EMISSION COMPLIANCE CERTIFICATE</w:t>
      </w:r>
    </w:p>
    <w:p>
      <w:pPr>
        <w:pStyle w:val="BodyText"/>
        <w:rPr>
          <w:b/>
          <w:sz w:val="24"/>
        </w:rPr>
      </w:pPr>
    </w:p>
    <w:p>
      <w:pPr>
        <w:pStyle w:val="BodyText"/>
        <w:spacing w:before="11"/>
        <w:rPr>
          <w:b/>
          <w:sz w:val="19"/>
        </w:rPr>
      </w:pPr>
    </w:p>
    <w:p>
      <w:pPr>
        <w:pStyle w:val="Heading2"/>
        <w:ind w:left="327" w:right="422" w:firstLine="0"/>
        <w:jc w:val="center"/>
        <w:rPr>
          <w:i/>
        </w:rPr>
      </w:pPr>
      <w:r>
        <w:rPr>
          <w:i/>
        </w:rPr>
        <w:t>NAME OF ADMINISTRATION</w:t>
      </w:r>
    </w:p>
    <w:p>
      <w:pPr>
        <w:pStyle w:val="BodyText"/>
        <w:spacing w:before="8"/>
        <w:rPr>
          <w:b/>
          <w:i/>
          <w:sz w:val="21"/>
        </w:rPr>
      </w:pPr>
    </w:p>
    <w:p>
      <w:pPr>
        <w:spacing w:before="1"/>
        <w:ind w:left="327" w:right="426" w:firstLine="0"/>
        <w:jc w:val="center"/>
        <w:rPr>
          <w:b/>
          <w:sz w:val="22"/>
        </w:rPr>
      </w:pPr>
      <w:r>
        <w:rPr>
          <w:b/>
          <w:position w:val="2"/>
          <w:sz w:val="22"/>
        </w:rPr>
        <w:t>SO</w:t>
      </w:r>
      <w:r>
        <w:rPr>
          <w:b/>
          <w:sz w:val="14"/>
        </w:rPr>
        <w:t>X </w:t>
      </w:r>
      <w:r>
        <w:rPr>
          <w:b/>
          <w:position w:val="2"/>
          <w:sz w:val="22"/>
        </w:rPr>
        <w:t>EMISSION COMPLIANCE CERTIFICATE</w:t>
      </w:r>
    </w:p>
    <w:p>
      <w:pPr>
        <w:pStyle w:val="BodyText"/>
        <w:spacing w:before="9"/>
        <w:rPr>
          <w:b/>
          <w:sz w:val="21"/>
        </w:rPr>
      </w:pPr>
    </w:p>
    <w:p>
      <w:pPr>
        <w:spacing w:before="0"/>
        <w:ind w:left="327" w:right="427" w:firstLine="0"/>
        <w:jc w:val="center"/>
        <w:rPr>
          <w:b/>
          <w:sz w:val="22"/>
        </w:rPr>
      </w:pPr>
      <w:r>
        <w:rPr>
          <w:b/>
          <w:sz w:val="22"/>
        </w:rPr>
        <w:t>CERTIFICATE OF UNIT APPROVAL FOR EXHAUST GAS CLEANING SYSTEMS</w:t>
      </w:r>
    </w:p>
    <w:p>
      <w:pPr>
        <w:pStyle w:val="BodyText"/>
        <w:rPr>
          <w:b/>
          <w:sz w:val="24"/>
        </w:rPr>
      </w:pPr>
    </w:p>
    <w:p>
      <w:pPr>
        <w:pStyle w:val="BodyText"/>
        <w:spacing w:before="2"/>
        <w:rPr>
          <w:b/>
          <w:sz w:val="20"/>
        </w:rPr>
      </w:pPr>
    </w:p>
    <w:p>
      <w:pPr>
        <w:pStyle w:val="BodyText"/>
        <w:ind w:left="318" w:right="325"/>
        <w:jc w:val="both"/>
      </w:pPr>
      <w:r>
        <w:rPr/>
        <w:t>Issued under the provisions of the Protocol of 1997, as amended by resolution MEPC.176(58) in 2008, to amend the International Convention for the Prevention of Pollution from Ships, 1973, as modified by the Protocol of 1978 related thereto under the authority of the Government of:</w:t>
      </w:r>
    </w:p>
    <w:p>
      <w:pPr>
        <w:pStyle w:val="BodyText"/>
      </w:pPr>
    </w:p>
    <w:p>
      <w:pPr>
        <w:pStyle w:val="BodyText"/>
        <w:spacing w:before="1"/>
        <w:ind w:left="327" w:right="334"/>
        <w:jc w:val="center"/>
      </w:pPr>
      <w:r>
        <w:rPr/>
        <w:t>.....................................................................................................................................................</w:t>
      </w:r>
    </w:p>
    <w:p>
      <w:pPr>
        <w:spacing w:before="1"/>
        <w:ind w:left="327" w:right="331" w:firstLine="0"/>
        <w:jc w:val="center"/>
        <w:rPr>
          <w:i/>
          <w:sz w:val="22"/>
        </w:rPr>
      </w:pPr>
      <w:r>
        <w:rPr>
          <w:i/>
          <w:sz w:val="22"/>
        </w:rPr>
        <w:t>(full designation of the country)</w:t>
      </w:r>
    </w:p>
    <w:p>
      <w:pPr>
        <w:pStyle w:val="BodyText"/>
        <w:rPr>
          <w:i/>
          <w:sz w:val="24"/>
        </w:rPr>
      </w:pPr>
    </w:p>
    <w:p>
      <w:pPr>
        <w:pStyle w:val="BodyText"/>
        <w:spacing w:before="11"/>
        <w:rPr>
          <w:i/>
          <w:sz w:val="19"/>
        </w:rPr>
      </w:pPr>
    </w:p>
    <w:p>
      <w:pPr>
        <w:pStyle w:val="BodyText"/>
        <w:spacing w:line="252" w:lineRule="exact"/>
        <w:ind w:left="327" w:right="331"/>
        <w:jc w:val="center"/>
      </w:pPr>
      <w:r>
        <w:rPr/>
        <w:t>by.................................................................................................................................................</w:t>
      </w:r>
    </w:p>
    <w:p>
      <w:pPr>
        <w:spacing w:before="0"/>
        <w:ind w:left="2152" w:right="2163" w:firstLine="0"/>
        <w:jc w:val="center"/>
        <w:rPr>
          <w:i/>
          <w:sz w:val="22"/>
        </w:rPr>
      </w:pPr>
      <w:r>
        <w:rPr>
          <w:i/>
          <w:sz w:val="22"/>
        </w:rPr>
        <w:t>(full designation of the competent person or organization </w:t>
      </w:r>
      <w:r>
        <w:rPr>
          <w:i/>
          <w:sz w:val="22"/>
        </w:rPr>
        <w:t>authorized under the provisions of the Convention)</w:t>
      </w:r>
    </w:p>
    <w:p>
      <w:pPr>
        <w:pStyle w:val="BodyText"/>
        <w:rPr>
          <w:i/>
          <w:sz w:val="24"/>
        </w:rPr>
      </w:pPr>
    </w:p>
    <w:p>
      <w:pPr>
        <w:pStyle w:val="BodyText"/>
        <w:rPr>
          <w:i/>
          <w:sz w:val="20"/>
        </w:rPr>
      </w:pPr>
    </w:p>
    <w:p>
      <w:pPr>
        <w:pStyle w:val="BodyText"/>
        <w:ind w:left="318" w:right="414"/>
        <w:jc w:val="both"/>
      </w:pPr>
      <w:r>
        <w:rPr/>
        <w:t>This is to certify that the exhaust gas cleaning (EGC) unit listed below has been surveyed in accordance with the requirements of the specifications contained under Scheme A in the </w:t>
      </w:r>
      <w:r>
        <w:rPr>
          <w:i/>
        </w:rPr>
        <w:t>2015 Guidelines for exhaust gas cleaning systems </w:t>
      </w:r>
      <w:r>
        <w:rPr/>
        <w:t>adopted by resolution MEPC.259(68).</w:t>
      </w:r>
    </w:p>
    <w:p>
      <w:pPr>
        <w:pStyle w:val="BodyText"/>
        <w:spacing w:before="1"/>
      </w:pPr>
    </w:p>
    <w:p>
      <w:pPr>
        <w:pStyle w:val="BodyText"/>
        <w:ind w:left="318"/>
        <w:jc w:val="both"/>
      </w:pPr>
      <w:r>
        <w:rPr/>
        <w:t>This Certificate is valid only for the EGC unit referred to below:</w:t>
      </w:r>
    </w:p>
    <w:p>
      <w:pPr>
        <w:pStyle w:val="BodyText"/>
        <w:spacing w:before="1"/>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1681"/>
        <w:gridCol w:w="1800"/>
        <w:gridCol w:w="4081"/>
      </w:tblGrid>
      <w:tr>
        <w:trPr>
          <w:trHeight w:val="505" w:hRule="atLeast"/>
        </w:trPr>
        <w:tc>
          <w:tcPr>
            <w:tcW w:w="1680" w:type="dxa"/>
          </w:tcPr>
          <w:p>
            <w:pPr>
              <w:pStyle w:val="TableParagraph"/>
              <w:spacing w:line="252" w:lineRule="exact" w:before="2"/>
              <w:ind w:left="98" w:right="146" w:firstLine="489"/>
              <w:jc w:val="left"/>
              <w:rPr>
                <w:b/>
                <w:sz w:val="22"/>
              </w:rPr>
            </w:pPr>
            <w:r>
              <w:rPr>
                <w:b/>
                <w:sz w:val="22"/>
              </w:rPr>
              <w:t>Unit manufacturer</w:t>
            </w:r>
          </w:p>
        </w:tc>
        <w:tc>
          <w:tcPr>
            <w:tcW w:w="1681" w:type="dxa"/>
          </w:tcPr>
          <w:p>
            <w:pPr>
              <w:pStyle w:val="TableParagraph"/>
              <w:spacing w:line="252" w:lineRule="exact" w:before="2"/>
              <w:ind w:left="671" w:right="406" w:hanging="123"/>
              <w:jc w:val="left"/>
              <w:rPr>
                <w:b/>
                <w:sz w:val="22"/>
              </w:rPr>
            </w:pPr>
            <w:r>
              <w:rPr>
                <w:b/>
                <w:sz w:val="22"/>
              </w:rPr>
              <w:t>Model/ type</w:t>
            </w:r>
          </w:p>
        </w:tc>
        <w:tc>
          <w:tcPr>
            <w:tcW w:w="1800" w:type="dxa"/>
          </w:tcPr>
          <w:p>
            <w:pPr>
              <w:pStyle w:val="TableParagraph"/>
              <w:spacing w:line="252" w:lineRule="exact" w:before="2"/>
              <w:ind w:left="565" w:right="398" w:firstLine="103"/>
              <w:jc w:val="left"/>
              <w:rPr>
                <w:b/>
                <w:sz w:val="22"/>
              </w:rPr>
            </w:pPr>
            <w:r>
              <w:rPr>
                <w:b/>
                <w:sz w:val="22"/>
              </w:rPr>
              <w:t>Serial number</w:t>
            </w:r>
          </w:p>
        </w:tc>
        <w:tc>
          <w:tcPr>
            <w:tcW w:w="4081" w:type="dxa"/>
          </w:tcPr>
          <w:p>
            <w:pPr>
              <w:pStyle w:val="TableParagraph"/>
              <w:spacing w:line="252" w:lineRule="exact" w:before="2"/>
              <w:ind w:left="734" w:right="347" w:hanging="368"/>
              <w:jc w:val="left"/>
              <w:rPr>
                <w:b/>
                <w:sz w:val="22"/>
              </w:rPr>
            </w:pPr>
            <w:r>
              <w:rPr>
                <w:b/>
                <w:sz w:val="22"/>
              </w:rPr>
              <w:t>EGC System Unit and Technical Manual approval number</w:t>
            </w:r>
          </w:p>
        </w:tc>
      </w:tr>
      <w:tr>
        <w:trPr>
          <w:trHeight w:val="506" w:hRule="atLeast"/>
        </w:trPr>
        <w:tc>
          <w:tcPr>
            <w:tcW w:w="1680" w:type="dxa"/>
          </w:tcPr>
          <w:p>
            <w:pPr>
              <w:pStyle w:val="TableParagraph"/>
              <w:jc w:val="left"/>
              <w:rPr>
                <w:rFonts w:ascii="Times New Roman"/>
                <w:sz w:val="20"/>
              </w:rPr>
            </w:pPr>
          </w:p>
        </w:tc>
        <w:tc>
          <w:tcPr>
            <w:tcW w:w="1681" w:type="dxa"/>
          </w:tcPr>
          <w:p>
            <w:pPr>
              <w:pStyle w:val="TableParagraph"/>
              <w:jc w:val="left"/>
              <w:rPr>
                <w:rFonts w:ascii="Times New Roman"/>
                <w:sz w:val="20"/>
              </w:rPr>
            </w:pPr>
          </w:p>
        </w:tc>
        <w:tc>
          <w:tcPr>
            <w:tcW w:w="1800" w:type="dxa"/>
          </w:tcPr>
          <w:p>
            <w:pPr>
              <w:pStyle w:val="TableParagraph"/>
              <w:jc w:val="left"/>
              <w:rPr>
                <w:rFonts w:ascii="Times New Roman"/>
                <w:sz w:val="20"/>
              </w:rPr>
            </w:pPr>
          </w:p>
        </w:tc>
        <w:tc>
          <w:tcPr>
            <w:tcW w:w="4081" w:type="dxa"/>
          </w:tcPr>
          <w:p>
            <w:pPr>
              <w:pStyle w:val="TableParagraph"/>
              <w:jc w:val="left"/>
              <w:rPr>
                <w:rFonts w:ascii="Times New Roman"/>
                <w:sz w:val="20"/>
              </w:rPr>
            </w:pPr>
          </w:p>
        </w:tc>
      </w:tr>
    </w:tbl>
    <w:p>
      <w:pPr>
        <w:pStyle w:val="BodyText"/>
        <w:spacing w:before="10"/>
        <w:rPr>
          <w:sz w:val="21"/>
        </w:rPr>
      </w:pPr>
    </w:p>
    <w:p>
      <w:pPr>
        <w:pStyle w:val="BodyText"/>
        <w:ind w:left="318" w:right="419"/>
        <w:jc w:val="both"/>
      </w:pPr>
      <w:r>
        <w:rPr/>
        <w:t>A copy of this Certificate, together with the EGC System Technical Manual, shall be carried on board the ship fitted with this EGC System unit at all times.</w:t>
      </w:r>
    </w:p>
    <w:p>
      <w:pPr>
        <w:pStyle w:val="BodyText"/>
      </w:pPr>
    </w:p>
    <w:p>
      <w:pPr>
        <w:pStyle w:val="BodyText"/>
        <w:ind w:left="318" w:right="411"/>
        <w:jc w:val="both"/>
      </w:pPr>
      <w:r>
        <w:rPr/>
        <w:t>This Certificate is valid for the life of the EGC System unit, subject to surveys in accordance with section 4.2 of the guidelines and regulation 5 of MARPOL Annex VI, installed in ships under the authority of this Government.</w:t>
      </w:r>
    </w:p>
    <w:p>
      <w:pPr>
        <w:pStyle w:val="BodyText"/>
      </w:pPr>
    </w:p>
    <w:p>
      <w:pPr>
        <w:pStyle w:val="BodyText"/>
        <w:spacing w:line="252" w:lineRule="exact" w:before="1"/>
        <w:ind w:left="303" w:right="444"/>
        <w:jc w:val="center"/>
      </w:pPr>
      <w:r>
        <w:rPr/>
        <w:t>Issued at ....................................................................................................................................</w:t>
      </w:r>
    </w:p>
    <w:p>
      <w:pPr>
        <w:spacing w:line="252" w:lineRule="exact" w:before="0"/>
        <w:ind w:left="327" w:right="421" w:firstLine="0"/>
        <w:jc w:val="center"/>
        <w:rPr>
          <w:i/>
          <w:sz w:val="22"/>
        </w:rPr>
      </w:pPr>
      <w:r>
        <w:rPr>
          <w:i/>
          <w:sz w:val="22"/>
        </w:rPr>
        <w:t>(place of issue of certificate)</w:t>
      </w:r>
    </w:p>
    <w:p>
      <w:pPr>
        <w:pStyle w:val="BodyText"/>
        <w:rPr>
          <w:i/>
        </w:rPr>
      </w:pPr>
    </w:p>
    <w:p>
      <w:pPr>
        <w:pStyle w:val="BodyText"/>
        <w:spacing w:line="252" w:lineRule="exact" w:before="1"/>
        <w:ind w:left="318"/>
      </w:pPr>
      <w:r>
        <w:rPr/>
        <w:t>dd/mm/yyyy</w:t>
      </w:r>
    </w:p>
    <w:p>
      <w:pPr>
        <w:pStyle w:val="BodyText"/>
        <w:tabs>
          <w:tab w:pos="6038" w:val="left" w:leader="none"/>
        </w:tabs>
        <w:spacing w:line="252" w:lineRule="exact"/>
        <w:ind w:left="318"/>
      </w:pPr>
      <w:r>
        <w:rPr/>
        <w:t>...........................................................</w:t>
        <w:tab/>
        <w:t>............................................................</w:t>
      </w:r>
    </w:p>
    <w:p>
      <w:pPr>
        <w:tabs>
          <w:tab w:pos="6245" w:val="left" w:leader="none"/>
        </w:tabs>
        <w:spacing w:before="1"/>
        <w:ind w:left="7191" w:right="98" w:hanging="6153"/>
        <w:jc w:val="left"/>
        <w:rPr>
          <w:i/>
          <w:sz w:val="22"/>
        </w:rPr>
      </w:pPr>
      <w:r>
        <w:rPr>
          <w:i/>
          <w:sz w:val="22"/>
        </w:rPr>
        <w:t>(date</w:t>
      </w:r>
      <w:r>
        <w:rPr>
          <w:i/>
          <w:spacing w:val="-2"/>
          <w:sz w:val="22"/>
        </w:rPr>
        <w:t> </w:t>
      </w:r>
      <w:r>
        <w:rPr>
          <w:i/>
          <w:sz w:val="22"/>
        </w:rPr>
        <w:t>of</w:t>
      </w:r>
      <w:r>
        <w:rPr>
          <w:i/>
          <w:spacing w:val="-1"/>
          <w:sz w:val="22"/>
        </w:rPr>
        <w:t> </w:t>
      </w:r>
      <w:r>
        <w:rPr>
          <w:i/>
          <w:sz w:val="22"/>
        </w:rPr>
        <w:t>issue)</w:t>
        <w:tab/>
      </w:r>
      <w:r>
        <w:rPr>
          <w:sz w:val="22"/>
        </w:rPr>
        <w:t>(</w:t>
      </w:r>
      <w:r>
        <w:rPr>
          <w:i/>
          <w:sz w:val="22"/>
        </w:rPr>
        <w:t>signature of duly authorized official </w:t>
      </w:r>
      <w:r>
        <w:rPr>
          <w:i/>
          <w:sz w:val="22"/>
        </w:rPr>
        <w:t>issuing the</w:t>
      </w:r>
      <w:r>
        <w:rPr>
          <w:i/>
          <w:spacing w:val="-3"/>
          <w:sz w:val="22"/>
        </w:rPr>
        <w:t> </w:t>
      </w:r>
      <w:r>
        <w:rPr>
          <w:i/>
          <w:sz w:val="22"/>
        </w:rPr>
        <w:t>certificate)</w:t>
      </w:r>
    </w:p>
    <w:p>
      <w:pPr>
        <w:pStyle w:val="BodyText"/>
        <w:spacing w:before="11"/>
        <w:rPr>
          <w:i/>
          <w:sz w:val="21"/>
        </w:rPr>
      </w:pPr>
    </w:p>
    <w:p>
      <w:pPr>
        <w:pStyle w:val="BodyText"/>
        <w:ind w:left="327" w:right="425"/>
        <w:jc w:val="center"/>
      </w:pPr>
      <w:r>
        <w:rPr/>
        <w:t>(Seal or Stamp of the authority, as appropriate)</w:t>
      </w:r>
    </w:p>
    <w:p>
      <w:pPr>
        <w:spacing w:after="0"/>
        <w:jc w:val="center"/>
        <w:sectPr>
          <w:pgSz w:w="11910" w:h="16840"/>
          <w:pgMar w:header="856" w:footer="805" w:top="1540" w:bottom="1060" w:left="1100" w:right="1000"/>
        </w:sectPr>
      </w:pPr>
    </w:p>
    <w:p>
      <w:pPr>
        <w:pStyle w:val="BodyText"/>
        <w:spacing w:before="89"/>
        <w:ind w:left="327" w:right="422"/>
        <w:jc w:val="center"/>
      </w:pPr>
      <w:r>
        <w:rPr/>
        <w:t>APPENDIX 2</w:t>
      </w:r>
    </w:p>
    <w:p>
      <w:pPr>
        <w:pStyle w:val="BodyText"/>
        <w:spacing w:before="9"/>
        <w:rPr>
          <w:sz w:val="21"/>
        </w:rPr>
      </w:pPr>
    </w:p>
    <w:p>
      <w:pPr>
        <w:pStyle w:val="Heading1"/>
        <w:ind w:left="327" w:right="423" w:firstLine="0"/>
        <w:jc w:val="center"/>
      </w:pPr>
      <w:r>
        <w:rPr>
          <w:position w:val="2"/>
        </w:rPr>
        <w:t>PROOF OF THE SO</w:t>
      </w:r>
      <w:r>
        <w:rPr>
          <w:sz w:val="14"/>
        </w:rPr>
        <w:t>2</w:t>
      </w:r>
      <w:r>
        <w:rPr>
          <w:position w:val="2"/>
        </w:rPr>
        <w:t>/CO</w:t>
      </w:r>
      <w:r>
        <w:rPr>
          <w:sz w:val="14"/>
        </w:rPr>
        <w:t>2 </w:t>
      </w:r>
      <w:r>
        <w:rPr>
          <w:position w:val="2"/>
        </w:rPr>
        <w:t>RATIO METHOD</w:t>
      </w:r>
    </w:p>
    <w:p>
      <w:pPr>
        <w:pStyle w:val="BodyText"/>
        <w:rPr>
          <w:b/>
          <w:sz w:val="24"/>
        </w:rPr>
      </w:pPr>
    </w:p>
    <w:p>
      <w:pPr>
        <w:pStyle w:val="BodyText"/>
        <w:spacing w:before="1"/>
        <w:rPr>
          <w:b/>
          <w:sz w:val="20"/>
        </w:rPr>
      </w:pPr>
    </w:p>
    <w:p>
      <w:pPr>
        <w:pStyle w:val="ListParagraph"/>
        <w:numPr>
          <w:ilvl w:val="0"/>
          <w:numId w:val="15"/>
        </w:numPr>
        <w:tabs>
          <w:tab w:pos="1170" w:val="left" w:leader="none"/>
          <w:tab w:pos="1171" w:val="left" w:leader="none"/>
        </w:tabs>
        <w:spacing w:line="237" w:lineRule="auto" w:before="0" w:after="0"/>
        <w:ind w:left="318" w:right="412" w:firstLine="0"/>
        <w:jc w:val="both"/>
        <w:rPr>
          <w:sz w:val="22"/>
        </w:rPr>
      </w:pPr>
      <w:r>
        <w:rPr>
          <w:position w:val="2"/>
          <w:sz w:val="22"/>
        </w:rPr>
        <w:t>The SO</w:t>
      </w:r>
      <w:r>
        <w:rPr>
          <w:sz w:val="14"/>
        </w:rPr>
        <w:t>2</w:t>
      </w:r>
      <w:r>
        <w:rPr>
          <w:position w:val="2"/>
          <w:sz w:val="22"/>
        </w:rPr>
        <w:t>/CO</w:t>
      </w:r>
      <w:r>
        <w:rPr>
          <w:sz w:val="14"/>
        </w:rPr>
        <w:t>2 </w:t>
      </w:r>
      <w:r>
        <w:rPr>
          <w:position w:val="2"/>
          <w:sz w:val="22"/>
        </w:rPr>
        <w:t>ratio method enables direct monitoring of exhaust gas emissions to</w:t>
      </w:r>
      <w:r>
        <w:rPr>
          <w:sz w:val="22"/>
        </w:rPr>
        <w:t> verify compliance with emissions limits set out in table 1 in paragraph 1.3 of these guidelines.</w:t>
      </w:r>
      <w:r>
        <w:rPr>
          <w:position w:val="2"/>
          <w:sz w:val="22"/>
        </w:rPr>
        <w:t> In the case of EGC systems that absorb CO</w:t>
      </w:r>
      <w:r>
        <w:rPr>
          <w:sz w:val="14"/>
        </w:rPr>
        <w:t>2 </w:t>
      </w:r>
      <w:r>
        <w:rPr>
          <w:position w:val="2"/>
          <w:sz w:val="22"/>
        </w:rPr>
        <w:t>during the exhaust gas cleaning process it is necessary to measure the CO</w:t>
      </w:r>
      <w:r>
        <w:rPr>
          <w:sz w:val="14"/>
        </w:rPr>
        <w:t>2 </w:t>
      </w:r>
      <w:r>
        <w:rPr>
          <w:position w:val="2"/>
          <w:sz w:val="22"/>
        </w:rPr>
        <w:t>prior to the cleaning process and use the CO</w:t>
      </w:r>
      <w:r>
        <w:rPr>
          <w:sz w:val="14"/>
        </w:rPr>
        <w:t>2 </w:t>
      </w:r>
      <w:r>
        <w:rPr>
          <w:position w:val="2"/>
          <w:sz w:val="22"/>
        </w:rPr>
        <w:t>concentration before cleaning with the SO</w:t>
      </w:r>
      <w:r>
        <w:rPr>
          <w:sz w:val="14"/>
        </w:rPr>
        <w:t>2 </w:t>
      </w:r>
      <w:r>
        <w:rPr>
          <w:position w:val="2"/>
          <w:sz w:val="22"/>
        </w:rPr>
        <w:t>concentration after cleaning. For conventional low alkali cleaning systems virtually no CO</w:t>
      </w:r>
      <w:r>
        <w:rPr>
          <w:sz w:val="14"/>
        </w:rPr>
        <w:t>2 </w:t>
      </w:r>
      <w:r>
        <w:rPr>
          <w:position w:val="2"/>
          <w:sz w:val="22"/>
        </w:rPr>
        <w:t>is absorbed during exhaust gas cleaning and therefore</w:t>
      </w:r>
      <w:r>
        <w:rPr>
          <w:sz w:val="22"/>
        </w:rPr>
        <w:t> monitoring of both gases can be undertaken after the cleaning</w:t>
      </w:r>
      <w:r>
        <w:rPr>
          <w:spacing w:val="-13"/>
          <w:sz w:val="22"/>
        </w:rPr>
        <w:t> </w:t>
      </w:r>
      <w:r>
        <w:rPr>
          <w:sz w:val="22"/>
        </w:rPr>
        <w:t>process.</w:t>
      </w:r>
    </w:p>
    <w:p>
      <w:pPr>
        <w:pStyle w:val="BodyText"/>
        <w:spacing w:before="2"/>
      </w:pPr>
    </w:p>
    <w:p>
      <w:pPr>
        <w:pStyle w:val="ListParagraph"/>
        <w:numPr>
          <w:ilvl w:val="0"/>
          <w:numId w:val="15"/>
        </w:numPr>
        <w:tabs>
          <w:tab w:pos="1170" w:val="left" w:leader="none"/>
          <w:tab w:pos="1171" w:val="left" w:leader="none"/>
        </w:tabs>
        <w:spacing w:line="240" w:lineRule="auto" w:before="0" w:after="0"/>
        <w:ind w:left="318" w:right="416" w:firstLine="0"/>
        <w:jc w:val="both"/>
        <w:rPr>
          <w:sz w:val="22"/>
        </w:rPr>
      </w:pPr>
      <w:r>
        <w:rPr>
          <w:position w:val="2"/>
          <w:sz w:val="22"/>
        </w:rPr>
        <w:t>Correspondence between the SO</w:t>
      </w:r>
      <w:r>
        <w:rPr>
          <w:sz w:val="14"/>
        </w:rPr>
        <w:t>2</w:t>
      </w:r>
      <w:r>
        <w:rPr>
          <w:position w:val="2"/>
          <w:sz w:val="22"/>
        </w:rPr>
        <w:t>/CO</w:t>
      </w:r>
      <w:r>
        <w:rPr>
          <w:sz w:val="14"/>
        </w:rPr>
        <w:t>2 </w:t>
      </w:r>
      <w:r>
        <w:rPr>
          <w:position w:val="2"/>
          <w:sz w:val="22"/>
        </w:rPr>
        <w:t>ratio can be determined by simple </w:t>
      </w:r>
      <w:r>
        <w:rPr>
          <w:sz w:val="22"/>
        </w:rPr>
        <w:t> inspection of the respective carbon contents per unit mass of distillate and residual fuel. For this group of hydrocarbon fuels the carbon content as a percentage of mass remains closely similar, whereas the hydrogen content differs. Thus it can be concluded that for a given carbon consumption by combustion there will be a consumption of sulphur in proportion to the sulphur content of the fuel, or in other words a constant ratio between carbon and sulphur adjusted for the molecular weight of oxygen from</w:t>
      </w:r>
      <w:r>
        <w:rPr>
          <w:spacing w:val="-9"/>
          <w:sz w:val="22"/>
        </w:rPr>
        <w:t> </w:t>
      </w:r>
      <w:r>
        <w:rPr>
          <w:sz w:val="22"/>
        </w:rPr>
        <w:t>combustion.</w:t>
      </w:r>
    </w:p>
    <w:p>
      <w:pPr>
        <w:pStyle w:val="BodyText"/>
        <w:spacing w:before="10"/>
        <w:rPr>
          <w:sz w:val="21"/>
        </w:rPr>
      </w:pPr>
    </w:p>
    <w:p>
      <w:pPr>
        <w:pStyle w:val="ListParagraph"/>
        <w:numPr>
          <w:ilvl w:val="0"/>
          <w:numId w:val="15"/>
        </w:numPr>
        <w:tabs>
          <w:tab w:pos="1170" w:val="left" w:leader="none"/>
          <w:tab w:pos="1171" w:val="left" w:leader="none"/>
        </w:tabs>
        <w:spacing w:line="237" w:lineRule="auto" w:before="0" w:after="0"/>
        <w:ind w:left="318" w:right="411" w:firstLine="0"/>
        <w:jc w:val="both"/>
        <w:rPr>
          <w:sz w:val="22"/>
        </w:rPr>
      </w:pPr>
      <w:r>
        <w:rPr>
          <w:position w:val="2"/>
          <w:sz w:val="22"/>
        </w:rPr>
        <w:t>The first development of the SO</w:t>
      </w:r>
      <w:r>
        <w:rPr>
          <w:sz w:val="14"/>
        </w:rPr>
        <w:t>2</w:t>
      </w:r>
      <w:r>
        <w:rPr>
          <w:position w:val="2"/>
          <w:sz w:val="22"/>
        </w:rPr>
        <w:t>/CO</w:t>
      </w:r>
      <w:r>
        <w:rPr>
          <w:sz w:val="14"/>
        </w:rPr>
        <w:t>2 </w:t>
      </w:r>
      <w:r>
        <w:rPr>
          <w:position w:val="2"/>
          <w:sz w:val="22"/>
        </w:rPr>
        <w:t>ratio considered its use to verify compliance with emissions from 1.5% sulphur fuel. The limit of 65 (ppm</w:t>
      </w:r>
      <w:r>
        <w:rPr>
          <w:position w:val="2"/>
          <w:sz w:val="22"/>
          <w:vertAlign w:val="superscript"/>
        </w:rPr>
        <w:t>4</w:t>
      </w:r>
      <w:r>
        <w:rPr>
          <w:position w:val="2"/>
          <w:sz w:val="22"/>
          <w:vertAlign w:val="baseline"/>
        </w:rPr>
        <w:t>/%) SO</w:t>
      </w:r>
      <w:r>
        <w:rPr>
          <w:sz w:val="14"/>
          <w:vertAlign w:val="baseline"/>
        </w:rPr>
        <w:t>2</w:t>
      </w:r>
      <w:r>
        <w:rPr>
          <w:position w:val="2"/>
          <w:sz w:val="22"/>
          <w:vertAlign w:val="baseline"/>
        </w:rPr>
        <w:t>/CO</w:t>
      </w:r>
      <w:r>
        <w:rPr>
          <w:sz w:val="14"/>
          <w:vertAlign w:val="baseline"/>
        </w:rPr>
        <w:t>2 </w:t>
      </w:r>
      <w:r>
        <w:rPr>
          <w:position w:val="2"/>
          <w:sz w:val="22"/>
          <w:vertAlign w:val="baseline"/>
        </w:rPr>
        <w:t>for 1.5% sulphur in</w:t>
      </w:r>
      <w:r>
        <w:rPr>
          <w:sz w:val="22"/>
          <w:vertAlign w:val="baseline"/>
        </w:rPr>
        <w:t> fuel can be demonstrated by first calculating the mass ratio of fuel sulphur to fuel carbon, which is tabulated in table 1 in this appendix for various fuels and fuel sulphur contents; including 1.5% sulphur for both distillate and residual fuels. These ratios were used to solve</w:t>
      </w:r>
      <w:r>
        <w:rPr>
          <w:position w:val="2"/>
          <w:sz w:val="22"/>
          <w:vertAlign w:val="baseline"/>
        </w:rPr>
        <w:t> for the corresponding SO</w:t>
      </w:r>
      <w:r>
        <w:rPr>
          <w:sz w:val="14"/>
          <w:vertAlign w:val="baseline"/>
        </w:rPr>
        <w:t>2 </w:t>
      </w:r>
      <w:r>
        <w:rPr>
          <w:position w:val="2"/>
          <w:sz w:val="22"/>
          <w:vertAlign w:val="baseline"/>
        </w:rPr>
        <w:t>and CO</w:t>
      </w:r>
      <w:r>
        <w:rPr>
          <w:sz w:val="14"/>
          <w:vertAlign w:val="baseline"/>
        </w:rPr>
        <w:t>2 </w:t>
      </w:r>
      <w:r>
        <w:rPr>
          <w:position w:val="2"/>
          <w:sz w:val="22"/>
          <w:vertAlign w:val="baseline"/>
        </w:rPr>
        <w:t>concentrations in exhaust, which are tabulated in table 2</w:t>
      </w:r>
      <w:r>
        <w:rPr>
          <w:sz w:val="22"/>
          <w:vertAlign w:val="baseline"/>
        </w:rPr>
        <w:t> of this appendix. Molecular weights (MW) were taken into account to convert mass fractions</w:t>
      </w:r>
      <w:r>
        <w:rPr>
          <w:position w:val="2"/>
          <w:sz w:val="22"/>
          <w:vertAlign w:val="baseline"/>
        </w:rPr>
        <w:t> to mole fractions. For the 1.5% sulphur fuels in table 2, the amount of CO</w:t>
      </w:r>
      <w:r>
        <w:rPr>
          <w:sz w:val="14"/>
          <w:vertAlign w:val="baseline"/>
        </w:rPr>
        <w:t>2 </w:t>
      </w:r>
      <w:r>
        <w:rPr>
          <w:position w:val="2"/>
          <w:sz w:val="22"/>
          <w:vertAlign w:val="baseline"/>
        </w:rPr>
        <w:t>is set first at 8%</w:t>
      </w:r>
      <w:r>
        <w:rPr>
          <w:sz w:val="22"/>
          <w:vertAlign w:val="baseline"/>
        </w:rPr>
        <w:t> and then changed to 0.5% to show that there is no effect due to changes in excess air. As</w:t>
      </w:r>
      <w:r>
        <w:rPr>
          <w:position w:val="2"/>
          <w:sz w:val="22"/>
          <w:vertAlign w:val="baseline"/>
        </w:rPr>
        <w:t> expected, the absolute SO</w:t>
      </w:r>
      <w:r>
        <w:rPr>
          <w:sz w:val="14"/>
          <w:vertAlign w:val="baseline"/>
        </w:rPr>
        <w:t>2 </w:t>
      </w:r>
      <w:r>
        <w:rPr>
          <w:position w:val="2"/>
          <w:sz w:val="22"/>
          <w:vertAlign w:val="baseline"/>
        </w:rPr>
        <w:t>concentration changes, but the SO</w:t>
      </w:r>
      <w:r>
        <w:rPr>
          <w:sz w:val="14"/>
          <w:vertAlign w:val="baseline"/>
        </w:rPr>
        <w:t>2</w:t>
      </w:r>
      <w:r>
        <w:rPr>
          <w:position w:val="2"/>
          <w:sz w:val="22"/>
          <w:vertAlign w:val="baseline"/>
        </w:rPr>
        <w:t>/CO</w:t>
      </w:r>
      <w:r>
        <w:rPr>
          <w:sz w:val="14"/>
          <w:vertAlign w:val="baseline"/>
        </w:rPr>
        <w:t>2 </w:t>
      </w:r>
      <w:r>
        <w:rPr>
          <w:position w:val="2"/>
          <w:sz w:val="22"/>
          <w:vertAlign w:val="baseline"/>
        </w:rPr>
        <w:t>ratio does not. This indicates that the SO</w:t>
      </w:r>
      <w:r>
        <w:rPr>
          <w:sz w:val="14"/>
          <w:vertAlign w:val="baseline"/>
        </w:rPr>
        <w:t>2</w:t>
      </w:r>
      <w:r>
        <w:rPr>
          <w:position w:val="2"/>
          <w:sz w:val="22"/>
          <w:vertAlign w:val="baseline"/>
        </w:rPr>
        <w:t>/CO</w:t>
      </w:r>
      <w:r>
        <w:rPr>
          <w:sz w:val="14"/>
          <w:vertAlign w:val="baseline"/>
        </w:rPr>
        <w:t>2 </w:t>
      </w:r>
      <w:r>
        <w:rPr>
          <w:position w:val="2"/>
          <w:sz w:val="22"/>
          <w:vertAlign w:val="baseline"/>
        </w:rPr>
        <w:t>ratio is independent of fuel-to-air ratios. Therefore, SO</w:t>
      </w:r>
      <w:r>
        <w:rPr>
          <w:sz w:val="14"/>
          <w:vertAlign w:val="baseline"/>
        </w:rPr>
        <w:t>2</w:t>
      </w:r>
      <w:r>
        <w:rPr>
          <w:position w:val="2"/>
          <w:sz w:val="22"/>
          <w:vertAlign w:val="baseline"/>
        </w:rPr>
        <w:t>/CO</w:t>
      </w:r>
      <w:r>
        <w:rPr>
          <w:sz w:val="14"/>
          <w:vertAlign w:val="baseline"/>
        </w:rPr>
        <w:t>2 </w:t>
      </w:r>
      <w:r>
        <w:rPr>
          <w:position w:val="2"/>
          <w:sz w:val="22"/>
          <w:vertAlign w:val="baseline"/>
        </w:rPr>
        <w:t>ratio</w:t>
      </w:r>
      <w:r>
        <w:rPr>
          <w:sz w:val="22"/>
          <w:vertAlign w:val="baseline"/>
        </w:rPr>
        <w:t> can be used robustly at any point of operation, including operation where no brake power is produced.</w:t>
      </w:r>
    </w:p>
    <w:p>
      <w:pPr>
        <w:pStyle w:val="BodyText"/>
        <w:spacing w:before="8"/>
        <w:rPr>
          <w:sz w:val="21"/>
        </w:rPr>
      </w:pPr>
    </w:p>
    <w:p>
      <w:pPr>
        <w:pStyle w:val="ListParagraph"/>
        <w:numPr>
          <w:ilvl w:val="1"/>
          <w:numId w:val="15"/>
        </w:numPr>
        <w:tabs>
          <w:tab w:pos="1171" w:val="left" w:leader="none"/>
        </w:tabs>
        <w:spacing w:line="240" w:lineRule="auto" w:before="0" w:after="0"/>
        <w:ind w:left="318" w:right="417" w:firstLine="0"/>
        <w:jc w:val="both"/>
        <w:rPr>
          <w:sz w:val="22"/>
        </w:rPr>
      </w:pPr>
      <w:r>
        <w:rPr>
          <w:position w:val="2"/>
          <w:sz w:val="22"/>
        </w:rPr>
        <w:t>Note that the SO</w:t>
      </w:r>
      <w:r>
        <w:rPr>
          <w:sz w:val="14"/>
        </w:rPr>
        <w:t>2</w:t>
      </w:r>
      <w:r>
        <w:rPr>
          <w:position w:val="2"/>
          <w:sz w:val="22"/>
        </w:rPr>
        <w:t>/CO</w:t>
      </w:r>
      <w:r>
        <w:rPr>
          <w:sz w:val="14"/>
        </w:rPr>
        <w:t>2 </w:t>
      </w:r>
      <w:r>
        <w:rPr>
          <w:position w:val="2"/>
          <w:sz w:val="22"/>
        </w:rPr>
        <w:t>ratio varies slightly from distillate to residual fuel. This occurs</w:t>
      </w:r>
      <w:r>
        <w:rPr>
          <w:sz w:val="22"/>
        </w:rPr>
        <w:t> because of the very different atomic hydrogen-to-carbon ratios (H:C) of  the  two  fuels.</w:t>
      </w:r>
      <w:r>
        <w:rPr>
          <w:position w:val="2"/>
          <w:sz w:val="22"/>
        </w:rPr>
        <w:t> Figure 1 illustrates the extent of the SO</w:t>
      </w:r>
      <w:r>
        <w:rPr>
          <w:sz w:val="14"/>
        </w:rPr>
        <w:t>2</w:t>
      </w:r>
      <w:r>
        <w:rPr>
          <w:position w:val="2"/>
          <w:sz w:val="22"/>
        </w:rPr>
        <w:t>/CO</w:t>
      </w:r>
      <w:r>
        <w:rPr>
          <w:sz w:val="14"/>
        </w:rPr>
        <w:t>2 </w:t>
      </w:r>
      <w:r>
        <w:rPr>
          <w:position w:val="2"/>
          <w:sz w:val="22"/>
        </w:rPr>
        <w:t>ratios' sensitivity to H:C over a broad range of</w:t>
      </w:r>
      <w:r>
        <w:rPr>
          <w:sz w:val="22"/>
        </w:rPr>
        <w:t> H:C and fuel sulphur concentrations. From Figure 1, it can be concluded that for fuel sulphur levels less than 3.0% sulphur, the difference in S/C ratios for distillate and residual fuel is less than</w:t>
      </w:r>
      <w:r>
        <w:rPr>
          <w:spacing w:val="-2"/>
          <w:sz w:val="22"/>
        </w:rPr>
        <w:t> </w:t>
      </w:r>
      <w:r>
        <w:rPr>
          <w:sz w:val="22"/>
        </w:rPr>
        <w:t>5.0%.</w:t>
      </w:r>
    </w:p>
    <w:p>
      <w:pPr>
        <w:pStyle w:val="BodyText"/>
        <w:spacing w:before="4"/>
        <w:rPr>
          <w:sz w:val="21"/>
        </w:rPr>
      </w:pPr>
    </w:p>
    <w:p>
      <w:pPr>
        <w:pStyle w:val="ListParagraph"/>
        <w:numPr>
          <w:ilvl w:val="1"/>
          <w:numId w:val="15"/>
        </w:numPr>
        <w:tabs>
          <w:tab w:pos="1171" w:val="left" w:leader="none"/>
        </w:tabs>
        <w:spacing w:line="240" w:lineRule="auto" w:before="0" w:after="0"/>
        <w:ind w:left="318" w:right="411" w:firstLine="0"/>
        <w:jc w:val="both"/>
        <w:rPr>
          <w:sz w:val="22"/>
        </w:rPr>
      </w:pPr>
      <w:r>
        <w:rPr>
          <w:position w:val="2"/>
          <w:sz w:val="22"/>
        </w:rPr>
        <w:t>In the case of using non-petroleum fuel oils, the appropriate SO</w:t>
      </w:r>
      <w:r>
        <w:rPr>
          <w:sz w:val="14"/>
        </w:rPr>
        <w:t>2</w:t>
      </w:r>
      <w:r>
        <w:rPr>
          <w:position w:val="2"/>
          <w:sz w:val="22"/>
        </w:rPr>
        <w:t>/CO</w:t>
      </w:r>
      <w:r>
        <w:rPr>
          <w:sz w:val="14"/>
        </w:rPr>
        <w:t>2 </w:t>
      </w:r>
      <w:r>
        <w:rPr>
          <w:position w:val="2"/>
          <w:sz w:val="22"/>
        </w:rPr>
        <w:t>ratio</w:t>
      </w:r>
      <w:r>
        <w:rPr>
          <w:sz w:val="22"/>
        </w:rPr>
        <w:t> applicable to the values given in regulations 14.1 and/or 14.4 of MARPOL Annex VI will be subject to approval by the</w:t>
      </w:r>
      <w:r>
        <w:rPr>
          <w:spacing w:val="-5"/>
          <w:sz w:val="22"/>
        </w:rPr>
        <w:t> </w:t>
      </w:r>
      <w:r>
        <w:rPr>
          <w:sz w:val="22"/>
        </w:rPr>
        <w:t>Administration.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8"/>
        </w:rPr>
      </w:pPr>
      <w:r>
        <w:rPr/>
        <w:pict>
          <v:line style="position:absolute;mso-position-horizontal-relative:page;mso-position-vertical-relative:paragraph;z-index:-251654144;mso-wrap-distance-left:0;mso-wrap-distance-right:0" from="70.944pt,13.01837pt" to="214.964pt,13.01837pt" stroked="true" strokeweight=".599980pt" strokecolor="#000000">
            <v:stroke dashstyle="solid"/>
            <w10:wrap type="topAndBottom"/>
          </v:line>
        </w:pict>
      </w:r>
    </w:p>
    <w:p>
      <w:pPr>
        <w:pStyle w:val="ListParagraph"/>
        <w:numPr>
          <w:ilvl w:val="0"/>
          <w:numId w:val="15"/>
        </w:numPr>
        <w:tabs>
          <w:tab w:pos="885" w:val="left" w:leader="none"/>
          <w:tab w:pos="886" w:val="left" w:leader="none"/>
        </w:tabs>
        <w:spacing w:line="244" w:lineRule="auto" w:before="57" w:after="0"/>
        <w:ind w:left="885" w:right="413" w:hanging="567"/>
        <w:jc w:val="both"/>
        <w:rPr>
          <w:sz w:val="14"/>
        </w:rPr>
      </w:pPr>
      <w:r>
        <w:rPr>
          <w:sz w:val="18"/>
        </w:rPr>
        <w:t>ppm means "parts per million". It is assumed that ppm is measured by gas analysers on a molar basis, assuming ideal gas behaviour. The technically correct units are actually micro-moles of substance per</w:t>
      </w:r>
      <w:r>
        <w:rPr>
          <w:position w:val="1"/>
          <w:sz w:val="18"/>
        </w:rPr>
        <w:t> mole of total amount (</w:t>
      </w:r>
      <w:r>
        <w:rPr>
          <w:rFonts w:ascii="Symbol" w:hAnsi="Symbol"/>
          <w:position w:val="1"/>
          <w:sz w:val="18"/>
        </w:rPr>
        <w:t></w:t>
      </w:r>
      <w:r>
        <w:rPr>
          <w:position w:val="1"/>
          <w:sz w:val="18"/>
        </w:rPr>
        <w:t>mol/mol), but ppm is used in order to be consistent with units in the NO</w:t>
      </w:r>
      <w:r>
        <w:rPr>
          <w:sz w:val="12"/>
        </w:rPr>
        <w:t>x </w:t>
      </w:r>
      <w:r>
        <w:rPr>
          <w:position w:val="1"/>
          <w:sz w:val="18"/>
        </w:rPr>
        <w:t>Technical</w:t>
      </w:r>
      <w:r>
        <w:rPr>
          <w:sz w:val="18"/>
        </w:rPr>
        <w:t> Code.</w:t>
      </w:r>
    </w:p>
    <w:p>
      <w:pPr>
        <w:spacing w:after="0" w:line="244" w:lineRule="auto"/>
        <w:jc w:val="both"/>
        <w:rPr>
          <w:sz w:val="14"/>
        </w:rPr>
        <w:sectPr>
          <w:pgSz w:w="11910" w:h="16840"/>
          <w:pgMar w:header="856" w:footer="865" w:top="1540" w:bottom="1000" w:left="1100" w:right="1000"/>
        </w:sectPr>
      </w:pPr>
    </w:p>
    <w:p>
      <w:pPr>
        <w:pStyle w:val="Heading1"/>
        <w:spacing w:before="86"/>
        <w:ind w:left="327" w:right="421" w:firstLine="0"/>
        <w:jc w:val="center"/>
      </w:pPr>
      <w:r>
        <w:rPr/>
        <w:t>Table 1: Fuel properties for marine distillate and residual fuel*</w:t>
      </w:r>
    </w:p>
    <w:p>
      <w:pPr>
        <w:pStyle w:val="BodyText"/>
        <w:spacing w:before="6"/>
        <w:rPr>
          <w:b/>
        </w:r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4"/>
        <w:gridCol w:w="869"/>
        <w:gridCol w:w="999"/>
        <w:gridCol w:w="866"/>
        <w:gridCol w:w="866"/>
        <w:gridCol w:w="852"/>
        <w:gridCol w:w="794"/>
        <w:gridCol w:w="768"/>
        <w:gridCol w:w="950"/>
        <w:gridCol w:w="1171"/>
      </w:tblGrid>
      <w:tr>
        <w:trPr>
          <w:trHeight w:val="517" w:hRule="atLeast"/>
        </w:trPr>
        <w:tc>
          <w:tcPr>
            <w:tcW w:w="934" w:type="dxa"/>
          </w:tcPr>
          <w:p>
            <w:pPr>
              <w:pStyle w:val="TableParagraph"/>
              <w:jc w:val="left"/>
              <w:rPr>
                <w:rFonts w:ascii="Times New Roman"/>
                <w:sz w:val="20"/>
              </w:rPr>
            </w:pPr>
          </w:p>
        </w:tc>
        <w:tc>
          <w:tcPr>
            <w:tcW w:w="869" w:type="dxa"/>
          </w:tcPr>
          <w:p>
            <w:pPr>
              <w:pStyle w:val="TableParagraph"/>
              <w:spacing w:before="26"/>
              <w:ind w:left="60" w:right="57"/>
              <w:rPr>
                <w:sz w:val="20"/>
              </w:rPr>
            </w:pPr>
            <w:r>
              <w:rPr>
                <w:sz w:val="20"/>
              </w:rPr>
              <w:t>Carbon</w:t>
            </w:r>
          </w:p>
        </w:tc>
        <w:tc>
          <w:tcPr>
            <w:tcW w:w="999" w:type="dxa"/>
          </w:tcPr>
          <w:p>
            <w:pPr>
              <w:pStyle w:val="TableParagraph"/>
              <w:spacing w:before="26"/>
              <w:ind w:left="41" w:right="39"/>
              <w:rPr>
                <w:sz w:val="20"/>
              </w:rPr>
            </w:pPr>
            <w:r>
              <w:rPr>
                <w:sz w:val="20"/>
              </w:rPr>
              <w:t>Hydrogen</w:t>
            </w:r>
          </w:p>
        </w:tc>
        <w:tc>
          <w:tcPr>
            <w:tcW w:w="866" w:type="dxa"/>
          </w:tcPr>
          <w:p>
            <w:pPr>
              <w:pStyle w:val="TableParagraph"/>
              <w:spacing w:before="26"/>
              <w:ind w:left="61" w:right="54"/>
              <w:rPr>
                <w:sz w:val="20"/>
              </w:rPr>
            </w:pPr>
            <w:r>
              <w:rPr>
                <w:sz w:val="20"/>
              </w:rPr>
              <w:t>Sulphur</w:t>
            </w:r>
          </w:p>
        </w:tc>
        <w:tc>
          <w:tcPr>
            <w:tcW w:w="866" w:type="dxa"/>
          </w:tcPr>
          <w:p>
            <w:pPr>
              <w:pStyle w:val="TableParagraph"/>
              <w:spacing w:before="26"/>
              <w:ind w:left="60" w:right="54"/>
              <w:rPr>
                <w:sz w:val="20"/>
              </w:rPr>
            </w:pPr>
            <w:r>
              <w:rPr>
                <w:sz w:val="20"/>
              </w:rPr>
              <w:t>Other</w:t>
            </w:r>
          </w:p>
        </w:tc>
        <w:tc>
          <w:tcPr>
            <w:tcW w:w="852" w:type="dxa"/>
          </w:tcPr>
          <w:p>
            <w:pPr>
              <w:pStyle w:val="TableParagraph"/>
              <w:spacing w:before="26"/>
              <w:ind w:left="7"/>
              <w:rPr>
                <w:sz w:val="20"/>
              </w:rPr>
            </w:pPr>
            <w:r>
              <w:rPr>
                <w:w w:val="99"/>
                <w:sz w:val="20"/>
              </w:rPr>
              <w:t>C</w:t>
            </w:r>
          </w:p>
        </w:tc>
        <w:tc>
          <w:tcPr>
            <w:tcW w:w="794" w:type="dxa"/>
          </w:tcPr>
          <w:p>
            <w:pPr>
              <w:pStyle w:val="TableParagraph"/>
              <w:spacing w:before="26"/>
              <w:ind w:left="8"/>
              <w:rPr>
                <w:sz w:val="20"/>
              </w:rPr>
            </w:pPr>
            <w:r>
              <w:rPr>
                <w:w w:val="99"/>
                <w:sz w:val="20"/>
              </w:rPr>
              <w:t>H</w:t>
            </w:r>
          </w:p>
        </w:tc>
        <w:tc>
          <w:tcPr>
            <w:tcW w:w="768" w:type="dxa"/>
          </w:tcPr>
          <w:p>
            <w:pPr>
              <w:pStyle w:val="TableParagraph"/>
              <w:spacing w:before="26"/>
              <w:ind w:left="9"/>
              <w:rPr>
                <w:sz w:val="20"/>
              </w:rPr>
            </w:pPr>
            <w:r>
              <w:rPr>
                <w:w w:val="99"/>
                <w:sz w:val="20"/>
              </w:rPr>
              <w:t>S</w:t>
            </w:r>
          </w:p>
        </w:tc>
        <w:tc>
          <w:tcPr>
            <w:tcW w:w="950" w:type="dxa"/>
          </w:tcPr>
          <w:p>
            <w:pPr>
              <w:pStyle w:val="TableParagraph"/>
              <w:spacing w:before="26"/>
              <w:ind w:left="87"/>
              <w:jc w:val="left"/>
              <w:rPr>
                <w:sz w:val="20"/>
              </w:rPr>
            </w:pPr>
            <w:r>
              <w:rPr>
                <w:sz w:val="20"/>
              </w:rPr>
              <w:t>Fuel S/C</w:t>
            </w:r>
          </w:p>
        </w:tc>
        <w:tc>
          <w:tcPr>
            <w:tcW w:w="1171" w:type="dxa"/>
          </w:tcPr>
          <w:p>
            <w:pPr>
              <w:pStyle w:val="TableParagraph"/>
              <w:spacing w:before="26"/>
              <w:ind w:left="191" w:firstLine="223"/>
              <w:jc w:val="left"/>
              <w:rPr>
                <w:sz w:val="13"/>
              </w:rPr>
            </w:pPr>
            <w:r>
              <w:rPr>
                <w:sz w:val="20"/>
              </w:rPr>
              <w:t>Exh </w:t>
            </w:r>
            <w:r>
              <w:rPr>
                <w:w w:val="95"/>
                <w:position w:val="1"/>
                <w:sz w:val="20"/>
              </w:rPr>
              <w:t>SO</w:t>
            </w:r>
            <w:r>
              <w:rPr>
                <w:w w:val="95"/>
                <w:sz w:val="13"/>
              </w:rPr>
              <w:t>2</w:t>
            </w:r>
            <w:r>
              <w:rPr>
                <w:w w:val="95"/>
                <w:position w:val="1"/>
                <w:sz w:val="20"/>
              </w:rPr>
              <w:t>/CO</w:t>
            </w:r>
            <w:r>
              <w:rPr>
                <w:w w:val="95"/>
                <w:sz w:val="13"/>
              </w:rPr>
              <w:t>2</w:t>
            </w:r>
          </w:p>
        </w:tc>
      </w:tr>
      <w:tr>
        <w:trPr>
          <w:trHeight w:val="518" w:hRule="atLeast"/>
        </w:trPr>
        <w:tc>
          <w:tcPr>
            <w:tcW w:w="934" w:type="dxa"/>
          </w:tcPr>
          <w:p>
            <w:pPr>
              <w:pStyle w:val="TableParagraph"/>
              <w:spacing w:before="23"/>
              <w:ind w:left="57" w:right="380"/>
              <w:jc w:val="left"/>
              <w:rPr>
                <w:b/>
                <w:sz w:val="20"/>
              </w:rPr>
            </w:pPr>
            <w:r>
              <w:rPr>
                <w:b/>
                <w:sz w:val="20"/>
              </w:rPr>
              <w:t>Fuel Type</w:t>
            </w:r>
          </w:p>
        </w:tc>
        <w:tc>
          <w:tcPr>
            <w:tcW w:w="869" w:type="dxa"/>
          </w:tcPr>
          <w:p>
            <w:pPr>
              <w:pStyle w:val="TableParagraph"/>
              <w:spacing w:before="26"/>
              <w:ind w:left="61" w:right="57"/>
              <w:rPr>
                <w:sz w:val="20"/>
              </w:rPr>
            </w:pPr>
            <w:r>
              <w:rPr>
                <w:sz w:val="20"/>
              </w:rPr>
              <w:t>%(m/m)</w:t>
            </w:r>
          </w:p>
        </w:tc>
        <w:tc>
          <w:tcPr>
            <w:tcW w:w="999" w:type="dxa"/>
          </w:tcPr>
          <w:p>
            <w:pPr>
              <w:pStyle w:val="TableParagraph"/>
              <w:spacing w:before="26"/>
              <w:ind w:left="41" w:right="33"/>
              <w:rPr>
                <w:sz w:val="20"/>
              </w:rPr>
            </w:pPr>
            <w:r>
              <w:rPr>
                <w:sz w:val="20"/>
              </w:rPr>
              <w:t>%(m/m)</w:t>
            </w:r>
          </w:p>
        </w:tc>
        <w:tc>
          <w:tcPr>
            <w:tcW w:w="866" w:type="dxa"/>
          </w:tcPr>
          <w:p>
            <w:pPr>
              <w:pStyle w:val="TableParagraph"/>
              <w:spacing w:before="26"/>
              <w:ind w:left="61" w:right="54"/>
              <w:rPr>
                <w:sz w:val="20"/>
              </w:rPr>
            </w:pPr>
            <w:r>
              <w:rPr>
                <w:sz w:val="20"/>
              </w:rPr>
              <w:t>%(m/m)</w:t>
            </w:r>
          </w:p>
        </w:tc>
        <w:tc>
          <w:tcPr>
            <w:tcW w:w="866" w:type="dxa"/>
          </w:tcPr>
          <w:p>
            <w:pPr>
              <w:pStyle w:val="TableParagraph"/>
              <w:spacing w:before="26"/>
              <w:ind w:left="61" w:right="53"/>
              <w:rPr>
                <w:sz w:val="20"/>
              </w:rPr>
            </w:pPr>
            <w:r>
              <w:rPr>
                <w:sz w:val="20"/>
              </w:rPr>
              <w:t>%(m/m)</w:t>
            </w:r>
          </w:p>
        </w:tc>
        <w:tc>
          <w:tcPr>
            <w:tcW w:w="852" w:type="dxa"/>
          </w:tcPr>
          <w:p>
            <w:pPr>
              <w:pStyle w:val="TableParagraph"/>
              <w:spacing w:before="26"/>
              <w:ind w:right="120"/>
              <w:jc w:val="right"/>
              <w:rPr>
                <w:sz w:val="20"/>
              </w:rPr>
            </w:pPr>
            <w:r>
              <w:rPr>
                <w:w w:val="95"/>
                <w:sz w:val="20"/>
              </w:rPr>
              <w:t>mol/kg</w:t>
            </w:r>
          </w:p>
        </w:tc>
        <w:tc>
          <w:tcPr>
            <w:tcW w:w="794" w:type="dxa"/>
          </w:tcPr>
          <w:p>
            <w:pPr>
              <w:pStyle w:val="TableParagraph"/>
              <w:spacing w:before="26"/>
              <w:ind w:left="81" w:right="73"/>
              <w:rPr>
                <w:sz w:val="20"/>
              </w:rPr>
            </w:pPr>
            <w:r>
              <w:rPr>
                <w:sz w:val="20"/>
              </w:rPr>
              <w:t>mol/kg</w:t>
            </w:r>
          </w:p>
        </w:tc>
        <w:tc>
          <w:tcPr>
            <w:tcW w:w="768" w:type="dxa"/>
          </w:tcPr>
          <w:p>
            <w:pPr>
              <w:pStyle w:val="TableParagraph"/>
              <w:spacing w:before="26"/>
              <w:ind w:left="56" w:right="45"/>
              <w:rPr>
                <w:sz w:val="20"/>
              </w:rPr>
            </w:pPr>
            <w:r>
              <w:rPr>
                <w:sz w:val="20"/>
              </w:rPr>
              <w:t>mol/kg</w:t>
            </w:r>
          </w:p>
        </w:tc>
        <w:tc>
          <w:tcPr>
            <w:tcW w:w="950" w:type="dxa"/>
          </w:tcPr>
          <w:p>
            <w:pPr>
              <w:pStyle w:val="TableParagraph"/>
              <w:spacing w:before="26"/>
              <w:ind w:left="125"/>
              <w:jc w:val="left"/>
              <w:rPr>
                <w:sz w:val="20"/>
              </w:rPr>
            </w:pPr>
            <w:r>
              <w:rPr>
                <w:sz w:val="20"/>
              </w:rPr>
              <w:t>mol/mol</w:t>
            </w:r>
          </w:p>
        </w:tc>
        <w:tc>
          <w:tcPr>
            <w:tcW w:w="1171" w:type="dxa"/>
          </w:tcPr>
          <w:p>
            <w:pPr>
              <w:pStyle w:val="TableParagraph"/>
              <w:spacing w:before="26"/>
              <w:ind w:left="59" w:right="50"/>
              <w:rPr>
                <w:sz w:val="20"/>
              </w:rPr>
            </w:pPr>
            <w:r>
              <w:rPr>
                <w:sz w:val="20"/>
              </w:rPr>
              <w:t>ppm/%(v/v)</w:t>
            </w:r>
          </w:p>
        </w:tc>
      </w:tr>
      <w:tr>
        <w:trPr>
          <w:trHeight w:val="287" w:hRule="atLeast"/>
        </w:trPr>
        <w:tc>
          <w:tcPr>
            <w:tcW w:w="934" w:type="dxa"/>
          </w:tcPr>
          <w:p>
            <w:pPr>
              <w:pStyle w:val="TableParagraph"/>
              <w:spacing w:before="26"/>
              <w:ind w:left="57"/>
              <w:jc w:val="left"/>
              <w:rPr>
                <w:sz w:val="20"/>
              </w:rPr>
            </w:pPr>
            <w:r>
              <w:rPr>
                <w:sz w:val="20"/>
              </w:rPr>
              <w:t>Distillate</w:t>
            </w:r>
          </w:p>
        </w:tc>
        <w:tc>
          <w:tcPr>
            <w:tcW w:w="869" w:type="dxa"/>
          </w:tcPr>
          <w:p>
            <w:pPr>
              <w:pStyle w:val="TableParagraph"/>
              <w:spacing w:before="26"/>
              <w:ind w:left="60" w:right="57"/>
              <w:rPr>
                <w:sz w:val="20"/>
              </w:rPr>
            </w:pPr>
            <w:r>
              <w:rPr>
                <w:sz w:val="20"/>
              </w:rPr>
              <w:t>86.20</w:t>
            </w:r>
          </w:p>
        </w:tc>
        <w:tc>
          <w:tcPr>
            <w:tcW w:w="999" w:type="dxa"/>
          </w:tcPr>
          <w:p>
            <w:pPr>
              <w:pStyle w:val="TableParagraph"/>
              <w:spacing w:before="26"/>
              <w:ind w:left="41" w:right="39"/>
              <w:rPr>
                <w:sz w:val="20"/>
              </w:rPr>
            </w:pPr>
            <w:r>
              <w:rPr>
                <w:sz w:val="20"/>
              </w:rPr>
              <w:t>13.60</w:t>
            </w:r>
          </w:p>
        </w:tc>
        <w:tc>
          <w:tcPr>
            <w:tcW w:w="866" w:type="dxa"/>
          </w:tcPr>
          <w:p>
            <w:pPr>
              <w:pStyle w:val="TableParagraph"/>
              <w:spacing w:before="26"/>
              <w:ind w:left="57" w:right="54"/>
              <w:rPr>
                <w:sz w:val="20"/>
              </w:rPr>
            </w:pPr>
            <w:r>
              <w:rPr>
                <w:sz w:val="20"/>
              </w:rPr>
              <w:t>0.17</w:t>
            </w:r>
          </w:p>
        </w:tc>
        <w:tc>
          <w:tcPr>
            <w:tcW w:w="866" w:type="dxa"/>
          </w:tcPr>
          <w:p>
            <w:pPr>
              <w:pStyle w:val="TableParagraph"/>
              <w:spacing w:before="26"/>
              <w:ind w:left="58" w:right="54"/>
              <w:rPr>
                <w:sz w:val="20"/>
              </w:rPr>
            </w:pPr>
            <w:r>
              <w:rPr>
                <w:sz w:val="20"/>
              </w:rPr>
              <w:t>0.03</w:t>
            </w:r>
          </w:p>
        </w:tc>
        <w:tc>
          <w:tcPr>
            <w:tcW w:w="852" w:type="dxa"/>
          </w:tcPr>
          <w:p>
            <w:pPr>
              <w:pStyle w:val="TableParagraph"/>
              <w:spacing w:before="26"/>
              <w:ind w:right="57"/>
              <w:jc w:val="right"/>
              <w:rPr>
                <w:sz w:val="20"/>
              </w:rPr>
            </w:pPr>
            <w:r>
              <w:rPr>
                <w:sz w:val="20"/>
              </w:rPr>
              <w:t>71.8333</w:t>
            </w:r>
          </w:p>
        </w:tc>
        <w:tc>
          <w:tcPr>
            <w:tcW w:w="794" w:type="dxa"/>
          </w:tcPr>
          <w:p>
            <w:pPr>
              <w:pStyle w:val="TableParagraph"/>
              <w:spacing w:before="26"/>
              <w:ind w:left="76" w:right="73"/>
              <w:rPr>
                <w:sz w:val="20"/>
              </w:rPr>
            </w:pPr>
            <w:r>
              <w:rPr>
                <w:sz w:val="20"/>
              </w:rPr>
              <w:t>136</w:t>
            </w:r>
          </w:p>
        </w:tc>
        <w:tc>
          <w:tcPr>
            <w:tcW w:w="768" w:type="dxa"/>
          </w:tcPr>
          <w:p>
            <w:pPr>
              <w:pStyle w:val="TableParagraph"/>
              <w:spacing w:before="26"/>
              <w:ind w:left="56" w:right="49"/>
              <w:rPr>
                <w:sz w:val="20"/>
              </w:rPr>
            </w:pPr>
            <w:r>
              <w:rPr>
                <w:sz w:val="20"/>
              </w:rPr>
              <w:t>0.0531</w:t>
            </w:r>
          </w:p>
        </w:tc>
        <w:tc>
          <w:tcPr>
            <w:tcW w:w="950" w:type="dxa"/>
          </w:tcPr>
          <w:p>
            <w:pPr>
              <w:pStyle w:val="TableParagraph"/>
              <w:spacing w:before="26"/>
              <w:ind w:left="113"/>
              <w:jc w:val="left"/>
              <w:rPr>
                <w:sz w:val="20"/>
              </w:rPr>
            </w:pPr>
            <w:r>
              <w:rPr>
                <w:sz w:val="20"/>
              </w:rPr>
              <w:t>0.00074</w:t>
            </w:r>
          </w:p>
        </w:tc>
        <w:tc>
          <w:tcPr>
            <w:tcW w:w="1171" w:type="dxa"/>
          </w:tcPr>
          <w:p>
            <w:pPr>
              <w:pStyle w:val="TableParagraph"/>
              <w:spacing w:before="26"/>
              <w:ind w:left="58" w:right="50"/>
              <w:rPr>
                <w:sz w:val="20"/>
              </w:rPr>
            </w:pPr>
            <w:r>
              <w:rPr>
                <w:sz w:val="20"/>
              </w:rPr>
              <w:t>7.39559</w:t>
            </w:r>
          </w:p>
        </w:tc>
      </w:tr>
      <w:tr>
        <w:trPr>
          <w:trHeight w:val="287" w:hRule="atLeast"/>
        </w:trPr>
        <w:tc>
          <w:tcPr>
            <w:tcW w:w="934" w:type="dxa"/>
          </w:tcPr>
          <w:p>
            <w:pPr>
              <w:pStyle w:val="TableParagraph"/>
              <w:spacing w:before="26"/>
              <w:ind w:left="57"/>
              <w:jc w:val="left"/>
              <w:rPr>
                <w:sz w:val="20"/>
              </w:rPr>
            </w:pPr>
            <w:r>
              <w:rPr>
                <w:sz w:val="20"/>
              </w:rPr>
              <w:t>Residual</w:t>
            </w:r>
          </w:p>
        </w:tc>
        <w:tc>
          <w:tcPr>
            <w:tcW w:w="869" w:type="dxa"/>
          </w:tcPr>
          <w:p>
            <w:pPr>
              <w:pStyle w:val="TableParagraph"/>
              <w:spacing w:before="26"/>
              <w:ind w:left="60" w:right="57"/>
              <w:rPr>
                <w:sz w:val="20"/>
              </w:rPr>
            </w:pPr>
            <w:r>
              <w:rPr>
                <w:sz w:val="20"/>
              </w:rPr>
              <w:t>86.10</w:t>
            </w:r>
          </w:p>
        </w:tc>
        <w:tc>
          <w:tcPr>
            <w:tcW w:w="999" w:type="dxa"/>
          </w:tcPr>
          <w:p>
            <w:pPr>
              <w:pStyle w:val="TableParagraph"/>
              <w:spacing w:before="26"/>
              <w:ind w:left="41" w:right="39"/>
              <w:rPr>
                <w:sz w:val="20"/>
              </w:rPr>
            </w:pPr>
            <w:r>
              <w:rPr>
                <w:sz w:val="20"/>
              </w:rPr>
              <w:t>10.90</w:t>
            </w:r>
          </w:p>
        </w:tc>
        <w:tc>
          <w:tcPr>
            <w:tcW w:w="866" w:type="dxa"/>
          </w:tcPr>
          <w:p>
            <w:pPr>
              <w:pStyle w:val="TableParagraph"/>
              <w:spacing w:before="26"/>
              <w:ind w:left="57" w:right="54"/>
              <w:rPr>
                <w:sz w:val="20"/>
              </w:rPr>
            </w:pPr>
            <w:r>
              <w:rPr>
                <w:sz w:val="20"/>
              </w:rPr>
              <w:t>2.70</w:t>
            </w:r>
          </w:p>
        </w:tc>
        <w:tc>
          <w:tcPr>
            <w:tcW w:w="866" w:type="dxa"/>
          </w:tcPr>
          <w:p>
            <w:pPr>
              <w:pStyle w:val="TableParagraph"/>
              <w:spacing w:before="26"/>
              <w:ind w:left="58" w:right="54"/>
              <w:rPr>
                <w:sz w:val="20"/>
              </w:rPr>
            </w:pPr>
            <w:r>
              <w:rPr>
                <w:sz w:val="20"/>
              </w:rPr>
              <w:t>0.30</w:t>
            </w:r>
          </w:p>
        </w:tc>
        <w:tc>
          <w:tcPr>
            <w:tcW w:w="852" w:type="dxa"/>
          </w:tcPr>
          <w:p>
            <w:pPr>
              <w:pStyle w:val="TableParagraph"/>
              <w:spacing w:before="26"/>
              <w:ind w:right="57"/>
              <w:jc w:val="right"/>
              <w:rPr>
                <w:sz w:val="20"/>
              </w:rPr>
            </w:pPr>
            <w:r>
              <w:rPr>
                <w:sz w:val="20"/>
              </w:rPr>
              <w:t>71.7500</w:t>
            </w:r>
          </w:p>
        </w:tc>
        <w:tc>
          <w:tcPr>
            <w:tcW w:w="794" w:type="dxa"/>
          </w:tcPr>
          <w:p>
            <w:pPr>
              <w:pStyle w:val="TableParagraph"/>
              <w:spacing w:before="26"/>
              <w:ind w:left="76" w:right="73"/>
              <w:rPr>
                <w:sz w:val="20"/>
              </w:rPr>
            </w:pPr>
            <w:r>
              <w:rPr>
                <w:sz w:val="20"/>
              </w:rPr>
              <w:t>109</w:t>
            </w:r>
          </w:p>
        </w:tc>
        <w:tc>
          <w:tcPr>
            <w:tcW w:w="768" w:type="dxa"/>
          </w:tcPr>
          <w:p>
            <w:pPr>
              <w:pStyle w:val="TableParagraph"/>
              <w:spacing w:before="26"/>
              <w:ind w:left="56" w:right="49"/>
              <w:rPr>
                <w:sz w:val="20"/>
              </w:rPr>
            </w:pPr>
            <w:r>
              <w:rPr>
                <w:sz w:val="20"/>
              </w:rPr>
              <w:t>0.8438</w:t>
            </w:r>
          </w:p>
        </w:tc>
        <w:tc>
          <w:tcPr>
            <w:tcW w:w="950" w:type="dxa"/>
          </w:tcPr>
          <w:p>
            <w:pPr>
              <w:pStyle w:val="TableParagraph"/>
              <w:spacing w:before="26"/>
              <w:ind w:left="113"/>
              <w:jc w:val="left"/>
              <w:rPr>
                <w:sz w:val="20"/>
              </w:rPr>
            </w:pPr>
            <w:r>
              <w:rPr>
                <w:sz w:val="20"/>
              </w:rPr>
              <w:t>0.01176</w:t>
            </w:r>
          </w:p>
        </w:tc>
        <w:tc>
          <w:tcPr>
            <w:tcW w:w="1171" w:type="dxa"/>
          </w:tcPr>
          <w:p>
            <w:pPr>
              <w:pStyle w:val="TableParagraph"/>
              <w:spacing w:before="26"/>
              <w:ind w:left="59" w:right="49"/>
              <w:rPr>
                <w:sz w:val="20"/>
              </w:rPr>
            </w:pPr>
            <w:r>
              <w:rPr>
                <w:sz w:val="20"/>
              </w:rPr>
              <w:t>117.5958</w:t>
            </w:r>
          </w:p>
        </w:tc>
      </w:tr>
      <w:tr>
        <w:trPr>
          <w:trHeight w:val="289" w:hRule="atLeast"/>
        </w:trPr>
        <w:tc>
          <w:tcPr>
            <w:tcW w:w="934" w:type="dxa"/>
          </w:tcPr>
          <w:p>
            <w:pPr>
              <w:pStyle w:val="TableParagraph"/>
              <w:spacing w:before="28"/>
              <w:ind w:left="57"/>
              <w:jc w:val="left"/>
              <w:rPr>
                <w:sz w:val="20"/>
              </w:rPr>
            </w:pPr>
            <w:r>
              <w:rPr>
                <w:sz w:val="20"/>
              </w:rPr>
              <w:t>Distillate</w:t>
            </w:r>
          </w:p>
        </w:tc>
        <w:tc>
          <w:tcPr>
            <w:tcW w:w="869" w:type="dxa"/>
          </w:tcPr>
          <w:p>
            <w:pPr>
              <w:pStyle w:val="TableParagraph"/>
              <w:spacing w:before="28"/>
              <w:ind w:left="60" w:right="57"/>
              <w:rPr>
                <w:sz w:val="20"/>
              </w:rPr>
            </w:pPr>
            <w:r>
              <w:rPr>
                <w:sz w:val="20"/>
              </w:rPr>
              <w:t>85.05</w:t>
            </w:r>
          </w:p>
        </w:tc>
        <w:tc>
          <w:tcPr>
            <w:tcW w:w="999" w:type="dxa"/>
          </w:tcPr>
          <w:p>
            <w:pPr>
              <w:pStyle w:val="TableParagraph"/>
              <w:spacing w:before="28"/>
              <w:ind w:left="41" w:right="39"/>
              <w:rPr>
                <w:sz w:val="20"/>
              </w:rPr>
            </w:pPr>
            <w:r>
              <w:rPr>
                <w:sz w:val="20"/>
              </w:rPr>
              <w:t>13.42</w:t>
            </w:r>
          </w:p>
        </w:tc>
        <w:tc>
          <w:tcPr>
            <w:tcW w:w="866" w:type="dxa"/>
          </w:tcPr>
          <w:p>
            <w:pPr>
              <w:pStyle w:val="TableParagraph"/>
              <w:spacing w:before="28"/>
              <w:ind w:left="57" w:right="54"/>
              <w:rPr>
                <w:sz w:val="20"/>
              </w:rPr>
            </w:pPr>
            <w:r>
              <w:rPr>
                <w:sz w:val="20"/>
              </w:rPr>
              <w:t>1.50</w:t>
            </w:r>
          </w:p>
        </w:tc>
        <w:tc>
          <w:tcPr>
            <w:tcW w:w="866" w:type="dxa"/>
          </w:tcPr>
          <w:p>
            <w:pPr>
              <w:pStyle w:val="TableParagraph"/>
              <w:spacing w:before="28"/>
              <w:ind w:left="58" w:right="54"/>
              <w:rPr>
                <w:sz w:val="20"/>
              </w:rPr>
            </w:pPr>
            <w:r>
              <w:rPr>
                <w:sz w:val="20"/>
              </w:rPr>
              <w:t>0.03</w:t>
            </w:r>
          </w:p>
        </w:tc>
        <w:tc>
          <w:tcPr>
            <w:tcW w:w="852" w:type="dxa"/>
          </w:tcPr>
          <w:p>
            <w:pPr>
              <w:pStyle w:val="TableParagraph"/>
              <w:spacing w:before="28"/>
              <w:ind w:right="57"/>
              <w:jc w:val="right"/>
              <w:rPr>
                <w:sz w:val="20"/>
              </w:rPr>
            </w:pPr>
            <w:r>
              <w:rPr>
                <w:sz w:val="20"/>
              </w:rPr>
              <w:t>70.8750</w:t>
            </w:r>
          </w:p>
        </w:tc>
        <w:tc>
          <w:tcPr>
            <w:tcW w:w="794" w:type="dxa"/>
          </w:tcPr>
          <w:p>
            <w:pPr>
              <w:pStyle w:val="TableParagraph"/>
              <w:spacing w:before="28"/>
              <w:ind w:left="76" w:right="73"/>
              <w:rPr>
                <w:sz w:val="20"/>
              </w:rPr>
            </w:pPr>
            <w:r>
              <w:rPr>
                <w:sz w:val="20"/>
              </w:rPr>
              <w:t>134.2</w:t>
            </w:r>
          </w:p>
        </w:tc>
        <w:tc>
          <w:tcPr>
            <w:tcW w:w="768" w:type="dxa"/>
          </w:tcPr>
          <w:p>
            <w:pPr>
              <w:pStyle w:val="TableParagraph"/>
              <w:spacing w:before="28"/>
              <w:ind w:left="56" w:right="49"/>
              <w:rPr>
                <w:sz w:val="20"/>
              </w:rPr>
            </w:pPr>
            <w:r>
              <w:rPr>
                <w:sz w:val="20"/>
              </w:rPr>
              <w:t>0.4688</w:t>
            </w:r>
          </w:p>
        </w:tc>
        <w:tc>
          <w:tcPr>
            <w:tcW w:w="950" w:type="dxa"/>
          </w:tcPr>
          <w:p>
            <w:pPr>
              <w:pStyle w:val="TableParagraph"/>
              <w:spacing w:before="28"/>
              <w:ind w:left="58"/>
              <w:jc w:val="left"/>
              <w:rPr>
                <w:sz w:val="20"/>
              </w:rPr>
            </w:pPr>
            <w:r>
              <w:rPr>
                <w:sz w:val="20"/>
              </w:rPr>
              <w:t>0.006614</w:t>
            </w:r>
          </w:p>
        </w:tc>
        <w:tc>
          <w:tcPr>
            <w:tcW w:w="1171" w:type="dxa"/>
          </w:tcPr>
          <w:p>
            <w:pPr>
              <w:pStyle w:val="TableParagraph"/>
              <w:spacing w:before="28"/>
              <w:ind w:left="58" w:right="50"/>
              <w:rPr>
                <w:sz w:val="20"/>
              </w:rPr>
            </w:pPr>
            <w:r>
              <w:rPr>
                <w:sz w:val="20"/>
              </w:rPr>
              <w:t>66.1376</w:t>
            </w:r>
          </w:p>
        </w:tc>
      </w:tr>
      <w:tr>
        <w:trPr>
          <w:trHeight w:val="287" w:hRule="atLeast"/>
        </w:trPr>
        <w:tc>
          <w:tcPr>
            <w:tcW w:w="934" w:type="dxa"/>
            <w:tcBorders>
              <w:bottom w:val="single" w:sz="8" w:space="0" w:color="000000"/>
            </w:tcBorders>
          </w:tcPr>
          <w:p>
            <w:pPr>
              <w:pStyle w:val="TableParagraph"/>
              <w:spacing w:before="26"/>
              <w:ind w:left="57"/>
              <w:jc w:val="left"/>
              <w:rPr>
                <w:sz w:val="20"/>
              </w:rPr>
            </w:pPr>
            <w:r>
              <w:rPr>
                <w:sz w:val="20"/>
              </w:rPr>
              <w:t>Residual</w:t>
            </w:r>
          </w:p>
        </w:tc>
        <w:tc>
          <w:tcPr>
            <w:tcW w:w="869" w:type="dxa"/>
            <w:tcBorders>
              <w:bottom w:val="single" w:sz="8" w:space="0" w:color="000000"/>
            </w:tcBorders>
          </w:tcPr>
          <w:p>
            <w:pPr>
              <w:pStyle w:val="TableParagraph"/>
              <w:spacing w:before="26"/>
              <w:ind w:left="60" w:right="57"/>
              <w:rPr>
                <w:sz w:val="20"/>
              </w:rPr>
            </w:pPr>
            <w:r>
              <w:rPr>
                <w:sz w:val="20"/>
              </w:rPr>
              <w:t>87.17</w:t>
            </w:r>
          </w:p>
        </w:tc>
        <w:tc>
          <w:tcPr>
            <w:tcW w:w="999" w:type="dxa"/>
            <w:tcBorders>
              <w:bottom w:val="single" w:sz="8" w:space="0" w:color="000000"/>
            </w:tcBorders>
          </w:tcPr>
          <w:p>
            <w:pPr>
              <w:pStyle w:val="TableParagraph"/>
              <w:spacing w:before="26"/>
              <w:ind w:left="41" w:right="39"/>
              <w:rPr>
                <w:sz w:val="20"/>
              </w:rPr>
            </w:pPr>
            <w:r>
              <w:rPr>
                <w:sz w:val="20"/>
              </w:rPr>
              <w:t>11.03</w:t>
            </w:r>
          </w:p>
        </w:tc>
        <w:tc>
          <w:tcPr>
            <w:tcW w:w="866" w:type="dxa"/>
            <w:tcBorders>
              <w:bottom w:val="single" w:sz="8" w:space="0" w:color="000000"/>
            </w:tcBorders>
          </w:tcPr>
          <w:p>
            <w:pPr>
              <w:pStyle w:val="TableParagraph"/>
              <w:spacing w:before="26"/>
              <w:ind w:left="57" w:right="54"/>
              <w:rPr>
                <w:sz w:val="20"/>
              </w:rPr>
            </w:pPr>
            <w:r>
              <w:rPr>
                <w:sz w:val="20"/>
              </w:rPr>
              <w:t>1.50</w:t>
            </w:r>
          </w:p>
        </w:tc>
        <w:tc>
          <w:tcPr>
            <w:tcW w:w="866" w:type="dxa"/>
            <w:tcBorders>
              <w:bottom w:val="single" w:sz="8" w:space="0" w:color="000000"/>
            </w:tcBorders>
          </w:tcPr>
          <w:p>
            <w:pPr>
              <w:pStyle w:val="TableParagraph"/>
              <w:spacing w:before="26"/>
              <w:ind w:left="58" w:right="54"/>
              <w:rPr>
                <w:sz w:val="20"/>
              </w:rPr>
            </w:pPr>
            <w:r>
              <w:rPr>
                <w:sz w:val="20"/>
              </w:rPr>
              <w:t>0.30</w:t>
            </w:r>
          </w:p>
        </w:tc>
        <w:tc>
          <w:tcPr>
            <w:tcW w:w="852" w:type="dxa"/>
            <w:tcBorders>
              <w:bottom w:val="single" w:sz="8" w:space="0" w:color="000000"/>
            </w:tcBorders>
          </w:tcPr>
          <w:p>
            <w:pPr>
              <w:pStyle w:val="TableParagraph"/>
              <w:spacing w:before="26"/>
              <w:ind w:right="57"/>
              <w:jc w:val="right"/>
              <w:rPr>
                <w:sz w:val="20"/>
              </w:rPr>
            </w:pPr>
            <w:r>
              <w:rPr>
                <w:w w:val="95"/>
                <w:sz w:val="20"/>
              </w:rPr>
              <w:t>72.6417</w:t>
            </w:r>
          </w:p>
        </w:tc>
        <w:tc>
          <w:tcPr>
            <w:tcW w:w="794" w:type="dxa"/>
            <w:tcBorders>
              <w:bottom w:val="single" w:sz="8" w:space="0" w:color="000000"/>
            </w:tcBorders>
          </w:tcPr>
          <w:p>
            <w:pPr>
              <w:pStyle w:val="TableParagraph"/>
              <w:spacing w:before="26"/>
              <w:ind w:left="76" w:right="73"/>
              <w:rPr>
                <w:sz w:val="20"/>
              </w:rPr>
            </w:pPr>
            <w:r>
              <w:rPr>
                <w:sz w:val="20"/>
              </w:rPr>
              <w:t>110.3</w:t>
            </w:r>
          </w:p>
        </w:tc>
        <w:tc>
          <w:tcPr>
            <w:tcW w:w="768" w:type="dxa"/>
            <w:tcBorders>
              <w:bottom w:val="single" w:sz="8" w:space="0" w:color="000000"/>
            </w:tcBorders>
          </w:tcPr>
          <w:p>
            <w:pPr>
              <w:pStyle w:val="TableParagraph"/>
              <w:spacing w:before="26"/>
              <w:ind w:left="56" w:right="49"/>
              <w:rPr>
                <w:sz w:val="20"/>
              </w:rPr>
            </w:pPr>
            <w:r>
              <w:rPr>
                <w:sz w:val="20"/>
              </w:rPr>
              <w:t>0.4688</w:t>
            </w:r>
          </w:p>
        </w:tc>
        <w:tc>
          <w:tcPr>
            <w:tcW w:w="950" w:type="dxa"/>
            <w:tcBorders>
              <w:bottom w:val="single" w:sz="8" w:space="0" w:color="000000"/>
            </w:tcBorders>
          </w:tcPr>
          <w:p>
            <w:pPr>
              <w:pStyle w:val="TableParagraph"/>
              <w:spacing w:before="26"/>
              <w:ind w:left="58"/>
              <w:jc w:val="left"/>
              <w:rPr>
                <w:sz w:val="20"/>
              </w:rPr>
            </w:pPr>
            <w:r>
              <w:rPr>
                <w:sz w:val="20"/>
              </w:rPr>
              <w:t>0.006453</w:t>
            </w:r>
          </w:p>
        </w:tc>
        <w:tc>
          <w:tcPr>
            <w:tcW w:w="1171" w:type="dxa"/>
            <w:tcBorders>
              <w:bottom w:val="single" w:sz="8" w:space="0" w:color="000000"/>
            </w:tcBorders>
          </w:tcPr>
          <w:p>
            <w:pPr>
              <w:pStyle w:val="TableParagraph"/>
              <w:spacing w:before="26"/>
              <w:ind w:left="58" w:right="50"/>
              <w:rPr>
                <w:sz w:val="20"/>
              </w:rPr>
            </w:pPr>
            <w:r>
              <w:rPr>
                <w:sz w:val="20"/>
              </w:rPr>
              <w:t>64.5291</w:t>
            </w:r>
          </w:p>
        </w:tc>
      </w:tr>
    </w:tbl>
    <w:p>
      <w:pPr>
        <w:pStyle w:val="ListParagraph"/>
        <w:numPr>
          <w:ilvl w:val="0"/>
          <w:numId w:val="16"/>
        </w:numPr>
        <w:tabs>
          <w:tab w:pos="705" w:val="left" w:leader="none"/>
          <w:tab w:pos="706" w:val="left" w:leader="none"/>
        </w:tabs>
        <w:spacing w:line="240" w:lineRule="auto" w:before="150" w:after="0"/>
        <w:ind w:left="705" w:right="0" w:hanging="392"/>
        <w:jc w:val="left"/>
        <w:rPr>
          <w:sz w:val="18"/>
        </w:rPr>
      </w:pPr>
      <w:r>
        <w:rPr>
          <w:position w:val="1"/>
          <w:sz w:val="18"/>
        </w:rPr>
        <w:t>Based on properties in the IMO NO</w:t>
      </w:r>
      <w:r>
        <w:rPr>
          <w:sz w:val="12"/>
        </w:rPr>
        <w:t>x </w:t>
      </w:r>
      <w:r>
        <w:rPr>
          <w:position w:val="1"/>
          <w:sz w:val="18"/>
        </w:rPr>
        <w:t>Monitoring Guidelines, resolution</w:t>
      </w:r>
      <w:r>
        <w:rPr>
          <w:spacing w:val="-30"/>
          <w:position w:val="1"/>
          <w:sz w:val="18"/>
        </w:rPr>
        <w:t> </w:t>
      </w:r>
      <w:r>
        <w:rPr>
          <w:position w:val="1"/>
          <w:sz w:val="18"/>
        </w:rPr>
        <w:t>MEPC.103(49).</w:t>
      </w:r>
    </w:p>
    <w:p>
      <w:pPr>
        <w:pStyle w:val="BodyText"/>
        <w:rPr>
          <w:sz w:val="20"/>
        </w:rPr>
      </w:pPr>
    </w:p>
    <w:p>
      <w:pPr>
        <w:pStyle w:val="BodyText"/>
        <w:spacing w:before="2"/>
        <w:rPr>
          <w:sz w:val="18"/>
        </w:rPr>
      </w:pPr>
    </w:p>
    <w:p>
      <w:pPr>
        <w:pStyle w:val="Heading1"/>
        <w:spacing w:before="94"/>
        <w:ind w:left="327" w:right="425" w:firstLine="0"/>
        <w:jc w:val="center"/>
      </w:pPr>
      <w:r>
        <w:rPr/>
        <w:t>Table 2: Emissions calculations corresponding to 1.5 % fuel sulphur</w:t>
      </w:r>
    </w:p>
    <w:p>
      <w:pPr>
        <w:pStyle w:val="BodyText"/>
        <w:spacing w:before="5"/>
        <w:rPr>
          <w:b/>
          <w:sz w:val="11"/>
        </w:rPr>
      </w:pPr>
    </w:p>
    <w:tbl>
      <w:tblPr>
        <w:tblW w:w="0" w:type="auto"/>
        <w:jc w:val="left"/>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6"/>
        <w:gridCol w:w="924"/>
        <w:gridCol w:w="1548"/>
        <w:gridCol w:w="1980"/>
        <w:gridCol w:w="1467"/>
      </w:tblGrid>
      <w:tr>
        <w:trPr>
          <w:trHeight w:val="251" w:hRule="atLeast"/>
        </w:trPr>
        <w:tc>
          <w:tcPr>
            <w:tcW w:w="2696" w:type="dxa"/>
          </w:tcPr>
          <w:p>
            <w:pPr>
              <w:pStyle w:val="TableParagraph"/>
              <w:jc w:val="left"/>
              <w:rPr>
                <w:rFonts w:ascii="Times New Roman"/>
                <w:sz w:val="18"/>
              </w:rPr>
            </w:pPr>
          </w:p>
        </w:tc>
        <w:tc>
          <w:tcPr>
            <w:tcW w:w="924" w:type="dxa"/>
          </w:tcPr>
          <w:p>
            <w:pPr>
              <w:pStyle w:val="TableParagraph"/>
              <w:spacing w:line="232" w:lineRule="exact"/>
              <w:ind w:left="234" w:right="232"/>
              <w:rPr>
                <w:sz w:val="14"/>
              </w:rPr>
            </w:pPr>
            <w:r>
              <w:rPr>
                <w:position w:val="2"/>
                <w:sz w:val="22"/>
              </w:rPr>
              <w:t>CO</w:t>
            </w:r>
            <w:r>
              <w:rPr>
                <w:sz w:val="14"/>
              </w:rPr>
              <w:t>2</w:t>
            </w:r>
          </w:p>
        </w:tc>
        <w:tc>
          <w:tcPr>
            <w:tcW w:w="1548" w:type="dxa"/>
          </w:tcPr>
          <w:p>
            <w:pPr>
              <w:pStyle w:val="TableParagraph"/>
              <w:spacing w:line="232" w:lineRule="exact"/>
              <w:ind w:right="563"/>
              <w:jc w:val="right"/>
              <w:rPr>
                <w:sz w:val="14"/>
              </w:rPr>
            </w:pPr>
            <w:r>
              <w:rPr>
                <w:position w:val="2"/>
                <w:sz w:val="22"/>
              </w:rPr>
              <w:t>SO</w:t>
            </w:r>
            <w:r>
              <w:rPr>
                <w:sz w:val="14"/>
              </w:rPr>
              <w:t>2</w:t>
            </w:r>
          </w:p>
        </w:tc>
        <w:tc>
          <w:tcPr>
            <w:tcW w:w="1980" w:type="dxa"/>
          </w:tcPr>
          <w:p>
            <w:pPr>
              <w:pStyle w:val="TableParagraph"/>
              <w:spacing w:line="232" w:lineRule="exact"/>
              <w:ind w:left="316" w:right="308"/>
              <w:rPr>
                <w:sz w:val="14"/>
              </w:rPr>
            </w:pPr>
            <w:r>
              <w:rPr>
                <w:position w:val="2"/>
                <w:sz w:val="22"/>
              </w:rPr>
              <w:t>Exh SO</w:t>
            </w:r>
            <w:r>
              <w:rPr>
                <w:sz w:val="14"/>
              </w:rPr>
              <w:t>2</w:t>
            </w:r>
            <w:r>
              <w:rPr>
                <w:position w:val="2"/>
                <w:sz w:val="22"/>
              </w:rPr>
              <w:t>/CO</w:t>
            </w:r>
            <w:r>
              <w:rPr>
                <w:sz w:val="14"/>
              </w:rPr>
              <w:t>2</w:t>
            </w:r>
          </w:p>
        </w:tc>
        <w:tc>
          <w:tcPr>
            <w:tcW w:w="1467" w:type="dxa"/>
          </w:tcPr>
          <w:p>
            <w:pPr>
              <w:pStyle w:val="TableParagraph"/>
              <w:spacing w:line="232" w:lineRule="exact"/>
              <w:ind w:left="308" w:right="301"/>
              <w:rPr>
                <w:sz w:val="22"/>
              </w:rPr>
            </w:pPr>
            <w:r>
              <w:rPr>
                <w:sz w:val="22"/>
              </w:rPr>
              <w:t>Exh S/C</w:t>
            </w:r>
          </w:p>
        </w:tc>
      </w:tr>
      <w:tr>
        <w:trPr>
          <w:trHeight w:val="253" w:hRule="atLeast"/>
        </w:trPr>
        <w:tc>
          <w:tcPr>
            <w:tcW w:w="2696" w:type="dxa"/>
          </w:tcPr>
          <w:p>
            <w:pPr>
              <w:pStyle w:val="TableParagraph"/>
              <w:jc w:val="left"/>
              <w:rPr>
                <w:rFonts w:ascii="Times New Roman"/>
                <w:sz w:val="18"/>
              </w:rPr>
            </w:pPr>
          </w:p>
        </w:tc>
        <w:tc>
          <w:tcPr>
            <w:tcW w:w="924" w:type="dxa"/>
          </w:tcPr>
          <w:p>
            <w:pPr>
              <w:pStyle w:val="TableParagraph"/>
              <w:spacing w:line="234" w:lineRule="exact"/>
              <w:ind w:left="1"/>
              <w:rPr>
                <w:sz w:val="22"/>
              </w:rPr>
            </w:pPr>
            <w:r>
              <w:rPr>
                <w:w w:val="100"/>
                <w:sz w:val="22"/>
              </w:rPr>
              <w:t>%</w:t>
            </w:r>
          </w:p>
        </w:tc>
        <w:tc>
          <w:tcPr>
            <w:tcW w:w="1548" w:type="dxa"/>
          </w:tcPr>
          <w:p>
            <w:pPr>
              <w:pStyle w:val="TableParagraph"/>
              <w:spacing w:line="234" w:lineRule="exact"/>
              <w:ind w:right="508"/>
              <w:jc w:val="right"/>
              <w:rPr>
                <w:sz w:val="14"/>
              </w:rPr>
            </w:pPr>
            <w:r>
              <w:rPr>
                <w:sz w:val="22"/>
              </w:rPr>
              <w:t>ppm</w:t>
            </w:r>
            <w:r>
              <w:rPr>
                <w:position w:val="8"/>
                <w:sz w:val="14"/>
              </w:rPr>
              <w:t>4</w:t>
            </w:r>
          </w:p>
        </w:tc>
        <w:tc>
          <w:tcPr>
            <w:tcW w:w="1980" w:type="dxa"/>
          </w:tcPr>
          <w:p>
            <w:pPr>
              <w:pStyle w:val="TableParagraph"/>
              <w:spacing w:line="234" w:lineRule="exact"/>
              <w:ind w:left="316" w:right="306"/>
              <w:rPr>
                <w:sz w:val="22"/>
              </w:rPr>
            </w:pPr>
            <w:r>
              <w:rPr>
                <w:sz w:val="22"/>
              </w:rPr>
              <w:t>ppm</w:t>
            </w:r>
            <w:r>
              <w:rPr>
                <w:position w:val="8"/>
                <w:sz w:val="14"/>
              </w:rPr>
              <w:t>4</w:t>
            </w:r>
            <w:r>
              <w:rPr>
                <w:sz w:val="22"/>
              </w:rPr>
              <w:t>/%</w:t>
            </w:r>
          </w:p>
        </w:tc>
        <w:tc>
          <w:tcPr>
            <w:tcW w:w="1467" w:type="dxa"/>
          </w:tcPr>
          <w:p>
            <w:pPr>
              <w:pStyle w:val="TableParagraph"/>
              <w:spacing w:line="234" w:lineRule="exact"/>
              <w:ind w:left="308" w:right="299"/>
              <w:rPr>
                <w:sz w:val="22"/>
              </w:rPr>
            </w:pPr>
            <w:r>
              <w:rPr>
                <w:sz w:val="22"/>
              </w:rPr>
              <w:t>m/m</w:t>
            </w:r>
          </w:p>
        </w:tc>
      </w:tr>
      <w:tr>
        <w:trPr>
          <w:trHeight w:val="251" w:hRule="atLeast"/>
        </w:trPr>
        <w:tc>
          <w:tcPr>
            <w:tcW w:w="2696" w:type="dxa"/>
          </w:tcPr>
          <w:p>
            <w:pPr>
              <w:pStyle w:val="TableParagraph"/>
              <w:spacing w:line="232" w:lineRule="exact"/>
              <w:ind w:left="107"/>
              <w:jc w:val="left"/>
              <w:rPr>
                <w:sz w:val="22"/>
              </w:rPr>
            </w:pPr>
            <w:r>
              <w:rPr>
                <w:sz w:val="22"/>
              </w:rPr>
              <w:t>Distillate 0.17% S</w:t>
            </w:r>
          </w:p>
        </w:tc>
        <w:tc>
          <w:tcPr>
            <w:tcW w:w="924" w:type="dxa"/>
          </w:tcPr>
          <w:p>
            <w:pPr>
              <w:pStyle w:val="TableParagraph"/>
              <w:spacing w:line="232" w:lineRule="exact"/>
              <w:ind w:left="4"/>
              <w:rPr>
                <w:sz w:val="22"/>
              </w:rPr>
            </w:pPr>
            <w:r>
              <w:rPr>
                <w:w w:val="100"/>
                <w:sz w:val="22"/>
              </w:rPr>
              <w:t>8</w:t>
            </w:r>
          </w:p>
        </w:tc>
        <w:tc>
          <w:tcPr>
            <w:tcW w:w="1548" w:type="dxa"/>
          </w:tcPr>
          <w:p>
            <w:pPr>
              <w:pStyle w:val="TableParagraph"/>
              <w:spacing w:line="232" w:lineRule="exact"/>
              <w:ind w:right="547"/>
              <w:jc w:val="right"/>
              <w:rPr>
                <w:sz w:val="22"/>
              </w:rPr>
            </w:pPr>
            <w:r>
              <w:rPr>
                <w:sz w:val="22"/>
              </w:rPr>
              <w:t>59.1</w:t>
            </w:r>
          </w:p>
        </w:tc>
        <w:tc>
          <w:tcPr>
            <w:tcW w:w="1980" w:type="dxa"/>
          </w:tcPr>
          <w:p>
            <w:pPr>
              <w:pStyle w:val="TableParagraph"/>
              <w:spacing w:line="232" w:lineRule="exact"/>
              <w:ind w:left="316" w:right="305"/>
              <w:rPr>
                <w:sz w:val="22"/>
              </w:rPr>
            </w:pPr>
            <w:r>
              <w:rPr>
                <w:sz w:val="22"/>
              </w:rPr>
              <w:t>7.4</w:t>
            </w:r>
          </w:p>
        </w:tc>
        <w:tc>
          <w:tcPr>
            <w:tcW w:w="1467" w:type="dxa"/>
          </w:tcPr>
          <w:p>
            <w:pPr>
              <w:pStyle w:val="TableParagraph"/>
              <w:spacing w:line="232" w:lineRule="exact"/>
              <w:ind w:left="308" w:right="297"/>
              <w:rPr>
                <w:sz w:val="22"/>
              </w:rPr>
            </w:pPr>
            <w:r>
              <w:rPr>
                <w:sz w:val="22"/>
              </w:rPr>
              <w:t>0.00197</w:t>
            </w:r>
          </w:p>
        </w:tc>
      </w:tr>
      <w:tr>
        <w:trPr>
          <w:trHeight w:val="253" w:hRule="atLeast"/>
        </w:trPr>
        <w:tc>
          <w:tcPr>
            <w:tcW w:w="2696" w:type="dxa"/>
          </w:tcPr>
          <w:p>
            <w:pPr>
              <w:pStyle w:val="TableParagraph"/>
              <w:spacing w:line="234" w:lineRule="exact"/>
              <w:ind w:left="107"/>
              <w:jc w:val="left"/>
              <w:rPr>
                <w:sz w:val="22"/>
              </w:rPr>
            </w:pPr>
            <w:r>
              <w:rPr>
                <w:sz w:val="22"/>
              </w:rPr>
              <w:t>Residual 2.70% S</w:t>
            </w:r>
          </w:p>
        </w:tc>
        <w:tc>
          <w:tcPr>
            <w:tcW w:w="924" w:type="dxa"/>
          </w:tcPr>
          <w:p>
            <w:pPr>
              <w:pStyle w:val="TableParagraph"/>
              <w:spacing w:line="234" w:lineRule="exact"/>
              <w:ind w:left="4"/>
              <w:rPr>
                <w:sz w:val="22"/>
              </w:rPr>
            </w:pPr>
            <w:r>
              <w:rPr>
                <w:w w:val="100"/>
                <w:sz w:val="22"/>
              </w:rPr>
              <w:t>8</w:t>
            </w:r>
          </w:p>
        </w:tc>
        <w:tc>
          <w:tcPr>
            <w:tcW w:w="1548" w:type="dxa"/>
          </w:tcPr>
          <w:p>
            <w:pPr>
              <w:pStyle w:val="TableParagraph"/>
              <w:spacing w:line="234" w:lineRule="exact"/>
              <w:ind w:right="485"/>
              <w:jc w:val="right"/>
              <w:rPr>
                <w:sz w:val="22"/>
              </w:rPr>
            </w:pPr>
            <w:r>
              <w:rPr>
                <w:sz w:val="22"/>
              </w:rPr>
              <w:t>939.7</w:t>
            </w:r>
          </w:p>
        </w:tc>
        <w:tc>
          <w:tcPr>
            <w:tcW w:w="1980" w:type="dxa"/>
          </w:tcPr>
          <w:p>
            <w:pPr>
              <w:pStyle w:val="TableParagraph"/>
              <w:spacing w:line="234" w:lineRule="exact"/>
              <w:ind w:left="316" w:right="304"/>
              <w:rPr>
                <w:sz w:val="22"/>
              </w:rPr>
            </w:pPr>
            <w:r>
              <w:rPr>
                <w:sz w:val="22"/>
              </w:rPr>
              <w:t>117.5</w:t>
            </w:r>
          </w:p>
        </w:tc>
        <w:tc>
          <w:tcPr>
            <w:tcW w:w="1467" w:type="dxa"/>
          </w:tcPr>
          <w:p>
            <w:pPr>
              <w:pStyle w:val="TableParagraph"/>
              <w:spacing w:line="234" w:lineRule="exact"/>
              <w:ind w:left="308" w:right="297"/>
              <w:rPr>
                <w:sz w:val="22"/>
              </w:rPr>
            </w:pPr>
            <w:r>
              <w:rPr>
                <w:sz w:val="22"/>
              </w:rPr>
              <w:t>0.03136</w:t>
            </w:r>
          </w:p>
        </w:tc>
      </w:tr>
      <w:tr>
        <w:trPr>
          <w:trHeight w:val="254" w:hRule="atLeast"/>
        </w:trPr>
        <w:tc>
          <w:tcPr>
            <w:tcW w:w="2696" w:type="dxa"/>
          </w:tcPr>
          <w:p>
            <w:pPr>
              <w:pStyle w:val="TableParagraph"/>
              <w:jc w:val="left"/>
              <w:rPr>
                <w:rFonts w:ascii="Times New Roman"/>
                <w:sz w:val="18"/>
              </w:rPr>
            </w:pPr>
          </w:p>
        </w:tc>
        <w:tc>
          <w:tcPr>
            <w:tcW w:w="924" w:type="dxa"/>
          </w:tcPr>
          <w:p>
            <w:pPr>
              <w:pStyle w:val="TableParagraph"/>
              <w:jc w:val="left"/>
              <w:rPr>
                <w:rFonts w:ascii="Times New Roman"/>
                <w:sz w:val="18"/>
              </w:rPr>
            </w:pPr>
          </w:p>
        </w:tc>
        <w:tc>
          <w:tcPr>
            <w:tcW w:w="1548" w:type="dxa"/>
          </w:tcPr>
          <w:p>
            <w:pPr>
              <w:pStyle w:val="TableParagraph"/>
              <w:jc w:val="left"/>
              <w:rPr>
                <w:rFonts w:ascii="Times New Roman"/>
                <w:sz w:val="18"/>
              </w:rPr>
            </w:pPr>
          </w:p>
        </w:tc>
        <w:tc>
          <w:tcPr>
            <w:tcW w:w="1980" w:type="dxa"/>
          </w:tcPr>
          <w:p>
            <w:pPr>
              <w:pStyle w:val="TableParagraph"/>
              <w:jc w:val="left"/>
              <w:rPr>
                <w:rFonts w:ascii="Times New Roman"/>
                <w:sz w:val="18"/>
              </w:rPr>
            </w:pPr>
          </w:p>
        </w:tc>
        <w:tc>
          <w:tcPr>
            <w:tcW w:w="1467" w:type="dxa"/>
          </w:tcPr>
          <w:p>
            <w:pPr>
              <w:pStyle w:val="TableParagraph"/>
              <w:jc w:val="left"/>
              <w:rPr>
                <w:rFonts w:ascii="Times New Roman"/>
                <w:sz w:val="18"/>
              </w:rPr>
            </w:pPr>
          </w:p>
        </w:tc>
      </w:tr>
      <w:tr>
        <w:trPr>
          <w:trHeight w:val="251" w:hRule="atLeast"/>
        </w:trPr>
        <w:tc>
          <w:tcPr>
            <w:tcW w:w="2696" w:type="dxa"/>
          </w:tcPr>
          <w:p>
            <w:pPr>
              <w:pStyle w:val="TableParagraph"/>
              <w:spacing w:line="232" w:lineRule="exact"/>
              <w:ind w:left="107"/>
              <w:jc w:val="left"/>
              <w:rPr>
                <w:sz w:val="22"/>
              </w:rPr>
            </w:pPr>
            <w:r>
              <w:rPr>
                <w:sz w:val="22"/>
              </w:rPr>
              <w:t>Distillate 1.5% S</w:t>
            </w:r>
          </w:p>
        </w:tc>
        <w:tc>
          <w:tcPr>
            <w:tcW w:w="924" w:type="dxa"/>
          </w:tcPr>
          <w:p>
            <w:pPr>
              <w:pStyle w:val="TableParagraph"/>
              <w:spacing w:line="232" w:lineRule="exact"/>
              <w:ind w:left="4"/>
              <w:rPr>
                <w:sz w:val="22"/>
              </w:rPr>
            </w:pPr>
            <w:r>
              <w:rPr>
                <w:w w:val="100"/>
                <w:sz w:val="22"/>
              </w:rPr>
              <w:t>8</w:t>
            </w:r>
          </w:p>
        </w:tc>
        <w:tc>
          <w:tcPr>
            <w:tcW w:w="1548" w:type="dxa"/>
          </w:tcPr>
          <w:p>
            <w:pPr>
              <w:pStyle w:val="TableParagraph"/>
              <w:spacing w:line="232" w:lineRule="exact"/>
              <w:ind w:right="485"/>
              <w:jc w:val="right"/>
              <w:rPr>
                <w:sz w:val="22"/>
              </w:rPr>
            </w:pPr>
            <w:r>
              <w:rPr>
                <w:sz w:val="22"/>
              </w:rPr>
              <w:t>528.5</w:t>
            </w:r>
          </w:p>
        </w:tc>
        <w:tc>
          <w:tcPr>
            <w:tcW w:w="1980" w:type="dxa"/>
          </w:tcPr>
          <w:p>
            <w:pPr>
              <w:pStyle w:val="TableParagraph"/>
              <w:spacing w:line="232" w:lineRule="exact"/>
              <w:ind w:left="316" w:right="306"/>
              <w:rPr>
                <w:sz w:val="22"/>
              </w:rPr>
            </w:pPr>
            <w:r>
              <w:rPr>
                <w:sz w:val="22"/>
              </w:rPr>
              <w:t>66.1</w:t>
            </w:r>
          </w:p>
        </w:tc>
        <w:tc>
          <w:tcPr>
            <w:tcW w:w="1467" w:type="dxa"/>
          </w:tcPr>
          <w:p>
            <w:pPr>
              <w:pStyle w:val="TableParagraph"/>
              <w:spacing w:line="232" w:lineRule="exact"/>
              <w:ind w:left="308" w:right="297"/>
              <w:rPr>
                <w:sz w:val="22"/>
              </w:rPr>
            </w:pPr>
            <w:r>
              <w:rPr>
                <w:sz w:val="22"/>
              </w:rPr>
              <w:t>0.01764</w:t>
            </w:r>
          </w:p>
        </w:tc>
      </w:tr>
      <w:tr>
        <w:trPr>
          <w:trHeight w:val="253" w:hRule="atLeast"/>
        </w:trPr>
        <w:tc>
          <w:tcPr>
            <w:tcW w:w="2696" w:type="dxa"/>
          </w:tcPr>
          <w:p>
            <w:pPr>
              <w:pStyle w:val="TableParagraph"/>
              <w:spacing w:line="234" w:lineRule="exact"/>
              <w:ind w:left="107"/>
              <w:jc w:val="left"/>
              <w:rPr>
                <w:sz w:val="22"/>
              </w:rPr>
            </w:pPr>
            <w:r>
              <w:rPr>
                <w:sz w:val="22"/>
              </w:rPr>
              <w:t>Residual 1.5% S</w:t>
            </w:r>
          </w:p>
        </w:tc>
        <w:tc>
          <w:tcPr>
            <w:tcW w:w="924" w:type="dxa"/>
          </w:tcPr>
          <w:p>
            <w:pPr>
              <w:pStyle w:val="TableParagraph"/>
              <w:spacing w:line="234" w:lineRule="exact"/>
              <w:ind w:left="4"/>
              <w:rPr>
                <w:sz w:val="22"/>
              </w:rPr>
            </w:pPr>
            <w:r>
              <w:rPr>
                <w:w w:val="100"/>
                <w:sz w:val="22"/>
              </w:rPr>
              <w:t>8</w:t>
            </w:r>
          </w:p>
        </w:tc>
        <w:tc>
          <w:tcPr>
            <w:tcW w:w="1548" w:type="dxa"/>
          </w:tcPr>
          <w:p>
            <w:pPr>
              <w:pStyle w:val="TableParagraph"/>
              <w:spacing w:line="234" w:lineRule="exact"/>
              <w:ind w:right="485"/>
              <w:jc w:val="right"/>
              <w:rPr>
                <w:sz w:val="22"/>
              </w:rPr>
            </w:pPr>
            <w:r>
              <w:rPr>
                <w:sz w:val="22"/>
              </w:rPr>
              <w:t>515.7</w:t>
            </w:r>
          </w:p>
        </w:tc>
        <w:tc>
          <w:tcPr>
            <w:tcW w:w="1980" w:type="dxa"/>
          </w:tcPr>
          <w:p>
            <w:pPr>
              <w:pStyle w:val="TableParagraph"/>
              <w:spacing w:line="234" w:lineRule="exact"/>
              <w:ind w:left="316" w:right="306"/>
              <w:rPr>
                <w:sz w:val="22"/>
              </w:rPr>
            </w:pPr>
            <w:r>
              <w:rPr>
                <w:sz w:val="22"/>
              </w:rPr>
              <w:t>64.5</w:t>
            </w:r>
          </w:p>
        </w:tc>
        <w:tc>
          <w:tcPr>
            <w:tcW w:w="1467" w:type="dxa"/>
          </w:tcPr>
          <w:p>
            <w:pPr>
              <w:pStyle w:val="TableParagraph"/>
              <w:spacing w:line="234" w:lineRule="exact"/>
              <w:ind w:left="308" w:right="297"/>
              <w:rPr>
                <w:sz w:val="22"/>
              </w:rPr>
            </w:pPr>
            <w:r>
              <w:rPr>
                <w:sz w:val="22"/>
              </w:rPr>
              <w:t>0.01721</w:t>
            </w:r>
          </w:p>
        </w:tc>
      </w:tr>
      <w:tr>
        <w:trPr>
          <w:trHeight w:val="251" w:hRule="atLeast"/>
        </w:trPr>
        <w:tc>
          <w:tcPr>
            <w:tcW w:w="2696" w:type="dxa"/>
          </w:tcPr>
          <w:p>
            <w:pPr>
              <w:pStyle w:val="TableParagraph"/>
              <w:jc w:val="left"/>
              <w:rPr>
                <w:rFonts w:ascii="Times New Roman"/>
                <w:sz w:val="18"/>
              </w:rPr>
            </w:pPr>
          </w:p>
        </w:tc>
        <w:tc>
          <w:tcPr>
            <w:tcW w:w="924" w:type="dxa"/>
          </w:tcPr>
          <w:p>
            <w:pPr>
              <w:pStyle w:val="TableParagraph"/>
              <w:jc w:val="left"/>
              <w:rPr>
                <w:rFonts w:ascii="Times New Roman"/>
                <w:sz w:val="18"/>
              </w:rPr>
            </w:pPr>
          </w:p>
        </w:tc>
        <w:tc>
          <w:tcPr>
            <w:tcW w:w="1548" w:type="dxa"/>
          </w:tcPr>
          <w:p>
            <w:pPr>
              <w:pStyle w:val="TableParagraph"/>
              <w:jc w:val="left"/>
              <w:rPr>
                <w:rFonts w:ascii="Times New Roman"/>
                <w:sz w:val="18"/>
              </w:rPr>
            </w:pPr>
          </w:p>
        </w:tc>
        <w:tc>
          <w:tcPr>
            <w:tcW w:w="1980" w:type="dxa"/>
          </w:tcPr>
          <w:p>
            <w:pPr>
              <w:pStyle w:val="TableParagraph"/>
              <w:jc w:val="left"/>
              <w:rPr>
                <w:rFonts w:ascii="Times New Roman"/>
                <w:sz w:val="18"/>
              </w:rPr>
            </w:pPr>
          </w:p>
        </w:tc>
        <w:tc>
          <w:tcPr>
            <w:tcW w:w="1467" w:type="dxa"/>
          </w:tcPr>
          <w:p>
            <w:pPr>
              <w:pStyle w:val="TableParagraph"/>
              <w:jc w:val="left"/>
              <w:rPr>
                <w:rFonts w:ascii="Times New Roman"/>
                <w:sz w:val="18"/>
              </w:rPr>
            </w:pPr>
          </w:p>
        </w:tc>
      </w:tr>
      <w:tr>
        <w:trPr>
          <w:trHeight w:val="253" w:hRule="atLeast"/>
        </w:trPr>
        <w:tc>
          <w:tcPr>
            <w:tcW w:w="2696" w:type="dxa"/>
          </w:tcPr>
          <w:p>
            <w:pPr>
              <w:pStyle w:val="TableParagraph"/>
              <w:spacing w:line="234" w:lineRule="exact"/>
              <w:ind w:left="107"/>
              <w:jc w:val="left"/>
              <w:rPr>
                <w:sz w:val="22"/>
              </w:rPr>
            </w:pPr>
            <w:r>
              <w:rPr>
                <w:sz w:val="22"/>
              </w:rPr>
              <w:t>Distillate 1.5% S</w:t>
            </w:r>
          </w:p>
        </w:tc>
        <w:tc>
          <w:tcPr>
            <w:tcW w:w="924" w:type="dxa"/>
          </w:tcPr>
          <w:p>
            <w:pPr>
              <w:pStyle w:val="TableParagraph"/>
              <w:spacing w:line="234" w:lineRule="exact"/>
              <w:ind w:left="234" w:right="228"/>
              <w:rPr>
                <w:sz w:val="22"/>
              </w:rPr>
            </w:pPr>
            <w:r>
              <w:rPr>
                <w:sz w:val="22"/>
              </w:rPr>
              <w:t>0.5</w:t>
            </w:r>
          </w:p>
        </w:tc>
        <w:tc>
          <w:tcPr>
            <w:tcW w:w="1548" w:type="dxa"/>
          </w:tcPr>
          <w:p>
            <w:pPr>
              <w:pStyle w:val="TableParagraph"/>
              <w:spacing w:line="234" w:lineRule="exact"/>
              <w:ind w:right="547"/>
              <w:jc w:val="right"/>
              <w:rPr>
                <w:sz w:val="22"/>
              </w:rPr>
            </w:pPr>
            <w:r>
              <w:rPr>
                <w:sz w:val="22"/>
              </w:rPr>
              <w:t>33.0</w:t>
            </w:r>
          </w:p>
        </w:tc>
        <w:tc>
          <w:tcPr>
            <w:tcW w:w="1980" w:type="dxa"/>
          </w:tcPr>
          <w:p>
            <w:pPr>
              <w:pStyle w:val="TableParagraph"/>
              <w:spacing w:line="234" w:lineRule="exact"/>
              <w:ind w:left="316" w:right="306"/>
              <w:rPr>
                <w:sz w:val="22"/>
              </w:rPr>
            </w:pPr>
            <w:r>
              <w:rPr>
                <w:sz w:val="22"/>
              </w:rPr>
              <w:t>66.1</w:t>
            </w:r>
          </w:p>
        </w:tc>
        <w:tc>
          <w:tcPr>
            <w:tcW w:w="1467" w:type="dxa"/>
          </w:tcPr>
          <w:p>
            <w:pPr>
              <w:pStyle w:val="TableParagraph"/>
              <w:spacing w:line="234" w:lineRule="exact"/>
              <w:ind w:left="308" w:right="297"/>
              <w:rPr>
                <w:sz w:val="22"/>
              </w:rPr>
            </w:pPr>
            <w:r>
              <w:rPr>
                <w:sz w:val="22"/>
              </w:rPr>
              <w:t>0.01764</w:t>
            </w:r>
          </w:p>
        </w:tc>
      </w:tr>
      <w:tr>
        <w:trPr>
          <w:trHeight w:val="254" w:hRule="atLeast"/>
        </w:trPr>
        <w:tc>
          <w:tcPr>
            <w:tcW w:w="2696" w:type="dxa"/>
          </w:tcPr>
          <w:p>
            <w:pPr>
              <w:pStyle w:val="TableParagraph"/>
              <w:spacing w:line="234" w:lineRule="exact"/>
              <w:ind w:left="107"/>
              <w:jc w:val="left"/>
              <w:rPr>
                <w:sz w:val="22"/>
              </w:rPr>
            </w:pPr>
            <w:r>
              <w:rPr>
                <w:sz w:val="22"/>
              </w:rPr>
              <w:t>Residual 1.5% S</w:t>
            </w:r>
          </w:p>
        </w:tc>
        <w:tc>
          <w:tcPr>
            <w:tcW w:w="924" w:type="dxa"/>
          </w:tcPr>
          <w:p>
            <w:pPr>
              <w:pStyle w:val="TableParagraph"/>
              <w:spacing w:line="234" w:lineRule="exact"/>
              <w:ind w:left="234" w:right="228"/>
              <w:rPr>
                <w:sz w:val="22"/>
              </w:rPr>
            </w:pPr>
            <w:r>
              <w:rPr>
                <w:sz w:val="22"/>
              </w:rPr>
              <w:t>0.5</w:t>
            </w:r>
          </w:p>
        </w:tc>
        <w:tc>
          <w:tcPr>
            <w:tcW w:w="1548" w:type="dxa"/>
          </w:tcPr>
          <w:p>
            <w:pPr>
              <w:pStyle w:val="TableParagraph"/>
              <w:spacing w:line="234" w:lineRule="exact"/>
              <w:ind w:right="547"/>
              <w:jc w:val="right"/>
              <w:rPr>
                <w:sz w:val="22"/>
              </w:rPr>
            </w:pPr>
            <w:r>
              <w:rPr>
                <w:sz w:val="22"/>
              </w:rPr>
              <w:t>32.2</w:t>
            </w:r>
          </w:p>
        </w:tc>
        <w:tc>
          <w:tcPr>
            <w:tcW w:w="1980" w:type="dxa"/>
          </w:tcPr>
          <w:p>
            <w:pPr>
              <w:pStyle w:val="TableParagraph"/>
              <w:spacing w:line="234" w:lineRule="exact"/>
              <w:ind w:left="316" w:right="306"/>
              <w:rPr>
                <w:sz w:val="22"/>
              </w:rPr>
            </w:pPr>
            <w:r>
              <w:rPr>
                <w:sz w:val="22"/>
              </w:rPr>
              <w:t>64.5</w:t>
            </w:r>
          </w:p>
        </w:tc>
        <w:tc>
          <w:tcPr>
            <w:tcW w:w="1467" w:type="dxa"/>
          </w:tcPr>
          <w:p>
            <w:pPr>
              <w:pStyle w:val="TableParagraph"/>
              <w:spacing w:line="234" w:lineRule="exact"/>
              <w:ind w:left="308" w:right="297"/>
              <w:rPr>
                <w:sz w:val="22"/>
              </w:rPr>
            </w:pPr>
            <w:r>
              <w:rPr>
                <w:sz w:val="22"/>
              </w:rPr>
              <w:t>0.01721</w:t>
            </w:r>
          </w:p>
        </w:tc>
      </w:tr>
    </w:tbl>
    <w:p>
      <w:pPr>
        <w:pStyle w:val="BodyText"/>
        <w:rPr>
          <w:b/>
          <w:sz w:val="24"/>
        </w:rPr>
      </w:pPr>
    </w:p>
    <w:p>
      <w:pPr>
        <w:pStyle w:val="BodyText"/>
        <w:rPr>
          <w:b/>
          <w:sz w:val="24"/>
        </w:rPr>
      </w:pPr>
    </w:p>
    <w:p>
      <w:pPr>
        <w:spacing w:before="156"/>
        <w:ind w:left="327" w:right="402" w:firstLine="0"/>
        <w:jc w:val="center"/>
        <w:rPr>
          <w:b/>
          <w:sz w:val="21"/>
        </w:rPr>
      </w:pPr>
      <w:r>
        <w:rPr>
          <w:b/>
          <w:w w:val="105"/>
          <w:sz w:val="21"/>
        </w:rPr>
        <w:t>SO</w:t>
      </w:r>
      <w:r>
        <w:rPr>
          <w:b/>
          <w:w w:val="105"/>
          <w:sz w:val="21"/>
          <w:vertAlign w:val="subscript"/>
        </w:rPr>
        <w:t>2</w:t>
      </w:r>
      <w:r>
        <w:rPr>
          <w:b/>
          <w:w w:val="105"/>
          <w:sz w:val="21"/>
          <w:vertAlign w:val="baseline"/>
        </w:rPr>
        <w:t>/CO</w:t>
      </w:r>
      <w:r>
        <w:rPr>
          <w:b/>
          <w:w w:val="105"/>
          <w:sz w:val="21"/>
          <w:vertAlign w:val="subscript"/>
        </w:rPr>
        <w:t>2</w:t>
      </w:r>
      <w:r>
        <w:rPr>
          <w:b/>
          <w:w w:val="105"/>
          <w:sz w:val="21"/>
          <w:vertAlign w:val="baseline"/>
        </w:rPr>
        <w:t> ratio vs % sulphur in fuel</w:t>
      </w:r>
    </w:p>
    <w:p>
      <w:pPr>
        <w:pStyle w:val="BodyText"/>
        <w:spacing w:before="1"/>
        <w:rPr>
          <w:b/>
        </w:rPr>
      </w:pPr>
    </w:p>
    <w:p>
      <w:pPr>
        <w:spacing w:before="95"/>
        <w:ind w:left="767" w:right="0" w:firstLine="0"/>
        <w:jc w:val="left"/>
        <w:rPr>
          <w:sz w:val="17"/>
        </w:rPr>
      </w:pPr>
      <w:r>
        <w:rPr/>
        <w:pict>
          <v:group style="position:absolute;margin-left:112.37487pt;margin-top:9.697303pt;width:379.1pt;height:181.7pt;mso-position-horizontal-relative:page;mso-position-vertical-relative:paragraph;z-index:251664384" coordorigin="2247,194" coordsize="7582,3634">
            <v:shape style="position:absolute;left:1423;top:-163;width:12110;height:6105" coordorigin="1424,-162" coordsize="12110,6105" path="m2302,200l9812,200,9812,323m9812,769l9812,3775,2302,3775,2302,200m9812,323l9812,769e" filled="false" stroked="true" strokeweight=".578819pt" strokecolor="#808080">
              <v:path arrowok="t"/>
              <v:stroke dashstyle="solid"/>
            </v:shape>
            <v:shape style="position:absolute;left:1335;top:-162;width:12200;height:6194" coordorigin="1336,-161" coordsize="12200,6194" path="m2303,200l2303,3774m2247,3776l2301,3776m2247,3060l2301,3060m2247,2346l2301,2346m2247,1630l2301,1630m2247,916l2301,916m2247,200l2301,200m2303,3776l9812,3776m2303,3828l2303,3777m3054,3828l3054,3777m3805,3828l3805,3777m4557,3828l4557,3777m5307,3828l5307,3777m6059,3828l6059,3777m6809,3828l6809,3777m7561,3828l7561,3777m8311,3828l8311,3777m9063,3828l9063,3777m9813,3828l9813,3777e" filled="false" stroked="true" strokeweight=".084411pt" strokecolor="#000000">
              <v:path arrowok="t"/>
              <v:stroke dashstyle="solid"/>
            </v:shape>
            <v:shape style="position:absolute;left:1423;top:562;width:12110;height:5380" coordorigin="1424,563" coordsize="12110,5380" path="m2302,3775l3054,3460m3054,3460l3804,3145m3804,3145l4179,2988,4556,2830m4556,2830l5306,2515m5306,2515l5681,2356,6058,2199m6058,2199l6808,1884m6808,1884l7183,1726,7560,1569m7560,1569l8310,1254m8310,1254l8685,1097,9062,939m9062,939l9812,624e" filled="false" stroked="true" strokeweight="1.736458pt" strokecolor="#000080">
              <v:path arrowok="t"/>
              <v:stroke dashstyle="solid"/>
            </v:shape>
            <v:shape style="position:absolute;left:2302;top:723;width:7424;height:3052" coordorigin="2302,724" coordsize="7424,3052" path="m2375,3764l2360,3733,2302,3757,2302,3775,2347,3775,2375,3764m2572,3684l2557,3653,2491,3680,2506,3710,2572,3684m2768,3602l2755,3571,2688,3598,2701,3629,2768,3602m2966,3522l2951,3491,2886,3518,2900,3549,2966,3522m3127,3456l3112,3425,3046,3452,3061,3483,3127,3456m3323,3376l3308,3345,3243,3372,3258,3403,3323,3376m3520,3296l3505,3265,3439,3292,3454,3323,3520,3296m3718,3214l3703,3183,3637,3210,3652,3241,3718,3214m3877,3149l3862,3118,3796,3145,3811,3176,3877,3149m4074,3069l4060,3038,3993,3065,4007,3096,4074,3069m4272,2988l4257,2957,4191,2983,4206,3014,4272,2988m4468,2907l4455,2877,4388,2903,4401,2934,4468,2907m4629,2841l4614,2810,4548,2837,4563,2868,4629,2841m4825,2760l4810,2729,4745,2757,4760,2788,4825,2760m5022,2680l5007,2649,4941,2676,4956,2706,5022,2680m5220,2600l5205,2569,5139,2595,5154,2626,5220,2600m5379,2534l5364,2503,5299,2529,5313,2560,5379,2534m5576,2453l5562,2423,5495,2449,5508,2480,5576,2453m5774,2372l5759,2341,5693,2368,5708,2399,5774,2372m5970,2292l5957,2261,5890,2288,5903,2318,5970,2292m6131,2227l6116,2196,6050,2223,6065,2254,6131,2227m6327,2146l6312,2115,6247,2143,6262,2174,6327,2146m6524,2065l6509,2034,6443,2061,6458,2092,6524,2065m6722,1985l6707,1954,6641,1981,6656,2012,6722,1985m6881,1919l6866,1888,6801,1915,6816,1946,6881,1919m7077,1838l7064,1807,6997,1833,7011,1864,7077,1838m7276,1756l7261,1725,7195,1752,7210,1783,7276,1756m7472,1676l7459,1645,7392,1672,7405,1703,7472,1676m7633,1611l7618,1580,7553,1607,7568,1638,7633,1611m7830,1530l7815,1499,7749,1527,7764,1558,7830,1530m8026,1450l8011,1419,7946,1445,7960,1476,8026,1450m8224,1369l8209,1338,8144,1365,8158,1396,8224,1369m8383,1303l8368,1272,8303,1299,8318,1330,8383,1303m8580,1223l8566,1192,8499,1219,8513,1250,8580,1223m8778,1142l8763,1111,8697,1137,8712,1168,8778,1142m8974,1062l8961,1031,8894,1057,8907,1088,8974,1062m9135,997l9120,966,9055,993,9070,1024,9135,997m9332,915l9317,884,9251,912,9266,943,9332,915m9528,835l9513,804,9448,831,9463,862,9528,835m9726,755l9711,724,9646,751,9660,782,9726,755e" filled="true" fillcolor="#ff00ff" stroked="false">
              <v:path arrowok="t"/>
              <v:fill type="solid"/>
            </v:shape>
            <v:line style="position:absolute" from="3761,430" to="4108,430" stroked="true" strokeweight="1.68683pt" strokecolor="#000080">
              <v:stroke dashstyle="solid"/>
            </v:line>
            <v:shape style="position:absolute;left:3760;top:635;width:287;height:34" coordorigin="3761,635" coordsize="287,34" path="m3832,635l3761,635,3761,669,3832,669,3832,635m4047,635l3975,635,3975,669,4047,669,4047,635e" filled="true" fillcolor="#ff00ff" stroked="false">
              <v:path arrowok="t"/>
              <v:fill type="solid"/>
            </v:shape>
            <v:shape style="position:absolute;left:1447;top:1145;width:10892;height:4803" coordorigin="1447,1145" coordsize="10892,4803" path="m4558,3778l4558,2836m3814,3778l3814,3158m3053,3778l3053,3472m7566,3778l7566,1594m9071,3778l9071,965m3053,3472l2317,3472m3814,3158l2317,3158m4558,2836l2317,2836m7566,1594l2317,1594m9071,965l2317,965m2473,3778l2473,3711m2473,3711l2317,3711e" filled="false" stroked="true" strokeweight=".452203pt" strokecolor="#000000">
              <v:path arrowok="t"/>
              <v:stroke dashstyle="solid"/>
            </v:shape>
            <v:shape style="position:absolute;left:3384;top:323;width:2120;height:446" type="#_x0000_t202" filled="false" stroked="true" strokeweight=".082226pt" strokecolor="#000000">
              <v:textbox inset="0,0,0,0">
                <w:txbxContent>
                  <w:p>
                    <w:pPr>
                      <w:spacing w:line="290" w:lineRule="auto" w:before="22"/>
                      <w:ind w:left="763" w:right="0" w:firstLine="0"/>
                      <w:jc w:val="left"/>
                      <w:rPr>
                        <w:sz w:val="16"/>
                      </w:rPr>
                    </w:pPr>
                    <w:r>
                      <w:rPr>
                        <w:w w:val="110"/>
                        <w:sz w:val="16"/>
                      </w:rPr>
                      <w:t>Distillate fuel Residual fuel</w:t>
                    </w:r>
                  </w:p>
                </w:txbxContent>
              </v:textbox>
              <v:stroke dashstyle="solid"/>
              <w10:wrap type="none"/>
            </v:shape>
            <w10:wrap type="none"/>
          </v:group>
        </w:pict>
      </w:r>
      <w:r>
        <w:rPr>
          <w:w w:val="105"/>
          <w:sz w:val="17"/>
        </w:rPr>
        <w:t>250</w:t>
      </w:r>
    </w:p>
    <w:p>
      <w:pPr>
        <w:pStyle w:val="BodyText"/>
        <w:rPr>
          <w:sz w:val="20"/>
        </w:rPr>
      </w:pPr>
    </w:p>
    <w:p>
      <w:pPr>
        <w:pStyle w:val="BodyText"/>
        <w:spacing w:before="11"/>
        <w:rPr>
          <w:sz w:val="16"/>
        </w:rPr>
      </w:pPr>
    </w:p>
    <w:p>
      <w:pPr>
        <w:spacing w:before="95"/>
        <w:ind w:left="767" w:right="0" w:firstLine="0"/>
        <w:jc w:val="left"/>
        <w:rPr>
          <w:sz w:val="17"/>
        </w:rPr>
      </w:pPr>
      <w:r>
        <w:rPr>
          <w:w w:val="105"/>
          <w:sz w:val="17"/>
        </w:rPr>
        <w:t>200</w:t>
      </w:r>
    </w:p>
    <w:p>
      <w:pPr>
        <w:pStyle w:val="BodyText"/>
        <w:rPr>
          <w:sz w:val="20"/>
        </w:rPr>
      </w:pPr>
    </w:p>
    <w:p>
      <w:pPr>
        <w:pStyle w:val="BodyText"/>
        <w:spacing w:before="10"/>
        <w:rPr>
          <w:sz w:val="16"/>
        </w:rPr>
      </w:pPr>
    </w:p>
    <w:p>
      <w:pPr>
        <w:spacing w:before="95"/>
        <w:ind w:left="767" w:right="0" w:firstLine="0"/>
        <w:jc w:val="left"/>
        <w:rPr>
          <w:sz w:val="17"/>
        </w:rPr>
      </w:pPr>
      <w:r>
        <w:rPr/>
        <w:pict>
          <v:shape style="position:absolute;margin-left:78.255028pt;margin-top:-9.222091pt;width:12.1pt;height:74.2pt;mso-position-horizontal-relative:page;mso-position-vertical-relative:paragraph;z-index:251665408" type="#_x0000_t202" filled="false" stroked="false">
            <v:textbox inset="0,0,0,0" style="layout-flow:vertical;mso-layout-flow-alt:bottom-to-top">
              <w:txbxContent>
                <w:p>
                  <w:pPr>
                    <w:spacing w:before="14"/>
                    <w:ind w:left="20" w:right="0" w:firstLine="0"/>
                    <w:jc w:val="left"/>
                    <w:rPr>
                      <w:sz w:val="18"/>
                    </w:rPr>
                  </w:pPr>
                  <w:r>
                    <w:rPr>
                      <w:w w:val="95"/>
                      <w:sz w:val="18"/>
                    </w:rPr>
                    <w:t>SO2(ppm)/CO2(%)</w:t>
                  </w:r>
                </w:p>
              </w:txbxContent>
            </v:textbox>
            <w10:wrap type="none"/>
          </v:shape>
        </w:pict>
      </w:r>
      <w:r>
        <w:rPr>
          <w:w w:val="105"/>
          <w:sz w:val="17"/>
        </w:rPr>
        <w:t>150</w:t>
      </w:r>
    </w:p>
    <w:p>
      <w:pPr>
        <w:pStyle w:val="BodyText"/>
        <w:rPr>
          <w:sz w:val="20"/>
        </w:rPr>
      </w:pPr>
    </w:p>
    <w:p>
      <w:pPr>
        <w:pStyle w:val="BodyText"/>
        <w:rPr>
          <w:sz w:val="17"/>
        </w:rPr>
      </w:pPr>
    </w:p>
    <w:p>
      <w:pPr>
        <w:spacing w:before="94"/>
        <w:ind w:left="767" w:right="0" w:firstLine="0"/>
        <w:jc w:val="left"/>
        <w:rPr>
          <w:sz w:val="17"/>
        </w:rPr>
      </w:pPr>
      <w:r>
        <w:rPr>
          <w:w w:val="105"/>
          <w:sz w:val="17"/>
        </w:rPr>
        <w:t>100</w:t>
      </w:r>
    </w:p>
    <w:p>
      <w:pPr>
        <w:pStyle w:val="BodyText"/>
        <w:rPr>
          <w:sz w:val="20"/>
        </w:rPr>
      </w:pPr>
    </w:p>
    <w:p>
      <w:pPr>
        <w:pStyle w:val="BodyText"/>
        <w:spacing w:before="10"/>
        <w:rPr>
          <w:sz w:val="16"/>
        </w:rPr>
      </w:pPr>
    </w:p>
    <w:p>
      <w:pPr>
        <w:spacing w:before="95"/>
        <w:ind w:left="866" w:right="0" w:firstLine="0"/>
        <w:jc w:val="left"/>
        <w:rPr>
          <w:sz w:val="17"/>
        </w:rPr>
      </w:pPr>
      <w:r>
        <w:rPr>
          <w:w w:val="105"/>
          <w:sz w:val="17"/>
        </w:rPr>
        <w:t>50</w:t>
      </w:r>
    </w:p>
    <w:p>
      <w:pPr>
        <w:pStyle w:val="BodyText"/>
        <w:rPr>
          <w:sz w:val="20"/>
        </w:rPr>
      </w:pPr>
    </w:p>
    <w:p>
      <w:pPr>
        <w:pStyle w:val="BodyText"/>
        <w:rPr>
          <w:sz w:val="17"/>
        </w:rPr>
      </w:pPr>
    </w:p>
    <w:p>
      <w:pPr>
        <w:spacing w:before="95"/>
        <w:ind w:left="966" w:right="0" w:firstLine="0"/>
        <w:jc w:val="left"/>
        <w:rPr>
          <w:sz w:val="17"/>
        </w:rPr>
      </w:pPr>
      <w:r>
        <w:rPr>
          <w:w w:val="105"/>
          <w:sz w:val="17"/>
        </w:rPr>
        <w:t>0</w:t>
      </w:r>
    </w:p>
    <w:p>
      <w:pPr>
        <w:tabs>
          <w:tab w:pos="1779" w:val="left" w:leader="none"/>
          <w:tab w:pos="2529" w:val="left" w:leader="none"/>
          <w:tab w:pos="3281" w:val="left" w:leader="none"/>
          <w:tab w:pos="4031" w:val="left" w:leader="none"/>
          <w:tab w:pos="4783" w:val="left" w:leader="none"/>
          <w:tab w:pos="5533" w:val="left" w:leader="none"/>
          <w:tab w:pos="6285" w:val="left" w:leader="none"/>
          <w:tab w:pos="7036" w:val="left" w:leader="none"/>
          <w:tab w:pos="7787" w:val="left" w:leader="none"/>
          <w:tab w:pos="8538" w:val="left" w:leader="none"/>
        </w:tabs>
        <w:spacing w:before="50"/>
        <w:ind w:left="1027" w:right="0" w:firstLine="0"/>
        <w:jc w:val="left"/>
        <w:rPr>
          <w:sz w:val="17"/>
        </w:rPr>
      </w:pPr>
      <w:r>
        <w:rPr>
          <w:w w:val="105"/>
          <w:sz w:val="17"/>
        </w:rPr>
        <w:t>0,00</w:t>
        <w:tab/>
        <w:t>0,50</w:t>
        <w:tab/>
        <w:t>1,00</w:t>
        <w:tab/>
        <w:t>1,50</w:t>
        <w:tab/>
        <w:t>2,00</w:t>
        <w:tab/>
        <w:t>2,50</w:t>
        <w:tab/>
        <w:t>3,00</w:t>
        <w:tab/>
        <w:t>3,50</w:t>
        <w:tab/>
        <w:t>4,00</w:t>
        <w:tab/>
        <w:t>4,50</w:t>
        <w:tab/>
        <w:t>5,00</w:t>
      </w:r>
    </w:p>
    <w:p>
      <w:pPr>
        <w:spacing w:before="89"/>
        <w:ind w:left="4089" w:right="0" w:firstLine="0"/>
        <w:jc w:val="left"/>
        <w:rPr>
          <w:sz w:val="17"/>
        </w:rPr>
      </w:pPr>
      <w:r>
        <w:rPr>
          <w:w w:val="105"/>
          <w:sz w:val="17"/>
        </w:rPr>
        <w:t>% m/m sulphur in fuel</w:t>
      </w:r>
    </w:p>
    <w:p>
      <w:pPr>
        <w:spacing w:after="0"/>
        <w:jc w:val="left"/>
        <w:rPr>
          <w:sz w:val="17"/>
        </w:rPr>
        <w:sectPr>
          <w:pgSz w:w="11910" w:h="16840"/>
          <w:pgMar w:header="856" w:footer="805" w:top="1540" w:bottom="1060" w:left="1100" w:right="1000"/>
        </w:sectPr>
      </w:pPr>
    </w:p>
    <w:p>
      <w:pPr>
        <w:pStyle w:val="ListParagraph"/>
        <w:numPr>
          <w:ilvl w:val="0"/>
          <w:numId w:val="17"/>
        </w:numPr>
        <w:tabs>
          <w:tab w:pos="1170" w:val="left" w:leader="none"/>
          <w:tab w:pos="1171" w:val="left" w:leader="none"/>
        </w:tabs>
        <w:spacing w:line="235" w:lineRule="auto" w:before="92" w:after="0"/>
        <w:ind w:left="318" w:right="412" w:firstLine="0"/>
        <w:jc w:val="both"/>
        <w:rPr>
          <w:sz w:val="22"/>
        </w:rPr>
      </w:pPr>
      <w:r>
        <w:rPr/>
        <w:drawing>
          <wp:anchor distT="0" distB="0" distL="0" distR="0" allowOverlap="1" layoutInCell="1" locked="0" behindDoc="1" simplePos="0" relativeHeight="250150912">
            <wp:simplePos x="0" y="0"/>
            <wp:positionH relativeFrom="page">
              <wp:posOffset>3008693</wp:posOffset>
            </wp:positionH>
            <wp:positionV relativeFrom="paragraph">
              <wp:posOffset>1020112</wp:posOffset>
            </wp:positionV>
            <wp:extent cx="86636" cy="762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86636" cy="76200"/>
                    </a:xfrm>
                    <a:prstGeom prst="rect">
                      <a:avLst/>
                    </a:prstGeom>
                  </pic:spPr>
                </pic:pic>
              </a:graphicData>
            </a:graphic>
          </wp:anchor>
        </w:drawing>
      </w:r>
      <w:r>
        <w:rPr>
          <w:position w:val="2"/>
          <w:sz w:val="22"/>
        </w:rPr>
        <w:t>Correspondence between 65 (ppm</w:t>
      </w:r>
      <w:r>
        <w:rPr>
          <w:position w:val="2"/>
          <w:sz w:val="22"/>
          <w:vertAlign w:val="superscript"/>
        </w:rPr>
        <w:t>4</w:t>
      </w:r>
      <w:r>
        <w:rPr>
          <w:position w:val="2"/>
          <w:sz w:val="22"/>
          <w:vertAlign w:val="baseline"/>
        </w:rPr>
        <w:t>/%) SO</w:t>
      </w:r>
      <w:r>
        <w:rPr>
          <w:sz w:val="14"/>
          <w:vertAlign w:val="baseline"/>
        </w:rPr>
        <w:t>2</w:t>
      </w:r>
      <w:r>
        <w:rPr>
          <w:position w:val="2"/>
          <w:sz w:val="22"/>
          <w:vertAlign w:val="baseline"/>
        </w:rPr>
        <w:t>/CO</w:t>
      </w:r>
      <w:r>
        <w:rPr>
          <w:sz w:val="14"/>
          <w:vertAlign w:val="baseline"/>
        </w:rPr>
        <w:t>2 </w:t>
      </w:r>
      <w:r>
        <w:rPr>
          <w:position w:val="2"/>
          <w:sz w:val="22"/>
          <w:vertAlign w:val="baseline"/>
        </w:rPr>
        <w:t>and 6.0 g/kWh is demonstrated by</w:t>
      </w:r>
      <w:r>
        <w:rPr>
          <w:sz w:val="22"/>
          <w:vertAlign w:val="baseline"/>
        </w:rPr>
        <w:t> showing that their S/C ratios are similar. This requires the additional assumption of a brake-specified fuel consumption value of 200 g/kWh. This is an appropriate average for marine diesel engines. The calculation is as</w:t>
      </w:r>
      <w:r>
        <w:rPr>
          <w:spacing w:val="-6"/>
          <w:sz w:val="22"/>
          <w:vertAlign w:val="baseline"/>
        </w:rPr>
        <w:t> </w:t>
      </w:r>
      <w:r>
        <w:rPr>
          <w:sz w:val="22"/>
          <w:vertAlign w:val="baseline"/>
        </w:rPr>
        <w:t>follows:</w:t>
      </w:r>
    </w:p>
    <w:p>
      <w:pPr>
        <w:pStyle w:val="BodyText"/>
        <w:rPr>
          <w:sz w:val="20"/>
        </w:rPr>
      </w:pPr>
    </w:p>
    <w:p>
      <w:pPr>
        <w:pStyle w:val="BodyText"/>
        <w:spacing w:before="10" w:after="1"/>
        <w:rPr>
          <w:sz w:val="15"/>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6"/>
        <w:gridCol w:w="4098"/>
      </w:tblGrid>
      <w:tr>
        <w:trPr>
          <w:trHeight w:val="260" w:hRule="atLeast"/>
        </w:trPr>
        <w:tc>
          <w:tcPr>
            <w:tcW w:w="1306" w:type="dxa"/>
            <w:vMerge w:val="restart"/>
          </w:tcPr>
          <w:p>
            <w:pPr>
              <w:pStyle w:val="TableParagraph"/>
              <w:spacing w:before="134"/>
              <w:ind w:left="200"/>
              <w:jc w:val="left"/>
              <w:rPr>
                <w:sz w:val="22"/>
              </w:rPr>
            </w:pPr>
            <w:r>
              <w:rPr>
                <w:position w:val="2"/>
                <w:sz w:val="22"/>
              </w:rPr>
              <w:t>S/C</w:t>
            </w:r>
            <w:r>
              <w:rPr>
                <w:sz w:val="14"/>
              </w:rPr>
              <w:t>fuel </w:t>
            </w:r>
            <w:r>
              <w:rPr>
                <w:position w:val="2"/>
                <w:sz w:val="22"/>
              </w:rPr>
              <w:t>=</w:t>
            </w:r>
          </w:p>
        </w:tc>
        <w:tc>
          <w:tcPr>
            <w:tcW w:w="4098" w:type="dxa"/>
          </w:tcPr>
          <w:p>
            <w:pPr>
              <w:pStyle w:val="TableParagraph"/>
              <w:tabs>
                <w:tab w:pos="324" w:val="left" w:leader="none"/>
                <w:tab w:pos="2412" w:val="left" w:leader="none"/>
                <w:tab w:pos="4170" w:val="left" w:leader="none"/>
              </w:tabs>
              <w:spacing w:line="240" w:lineRule="exact"/>
              <w:ind w:left="57" w:right="-87"/>
              <w:rPr>
                <w:sz w:val="22"/>
              </w:rPr>
            </w:pPr>
            <w:r>
              <w:rPr>
                <w:w w:val="100"/>
                <w:position w:val="2"/>
                <w:sz w:val="22"/>
                <w:u w:val="single"/>
              </w:rPr>
              <w:t> </w:t>
            </w:r>
            <w:r>
              <w:rPr>
                <w:position w:val="2"/>
                <w:sz w:val="22"/>
                <w:u w:val="single"/>
              </w:rPr>
              <w:tab/>
              <w:t>brake-specific</w:t>
            </w:r>
            <w:r>
              <w:rPr>
                <w:spacing w:val="-1"/>
                <w:position w:val="2"/>
                <w:sz w:val="22"/>
                <w:u w:val="single"/>
              </w:rPr>
              <w:t> </w:t>
            </w:r>
            <w:r>
              <w:rPr>
                <w:position w:val="2"/>
                <w:sz w:val="22"/>
                <w:u w:val="single"/>
              </w:rPr>
              <w:t>SO</w:t>
            </w:r>
            <w:r>
              <w:rPr>
                <w:sz w:val="14"/>
                <w:u w:val="single"/>
              </w:rPr>
              <w:t>2</w:t>
              <w:tab/>
            </w:r>
            <w:r>
              <w:rPr>
                <w:position w:val="2"/>
                <w:sz w:val="22"/>
                <w:u w:val="single"/>
              </w:rPr>
              <w:t>(MW</w:t>
            </w:r>
            <w:r>
              <w:rPr>
                <w:sz w:val="14"/>
                <w:u w:val="single"/>
              </w:rPr>
              <w:t>S  </w:t>
            </w:r>
            <w:r>
              <w:rPr>
                <w:position w:val="2"/>
                <w:sz w:val="22"/>
                <w:u w:val="single"/>
              </w:rPr>
              <w:t>/</w:t>
            </w:r>
            <w:r>
              <w:rPr>
                <w:spacing w:val="-22"/>
                <w:position w:val="2"/>
                <w:sz w:val="22"/>
                <w:u w:val="single"/>
              </w:rPr>
              <w:t> </w:t>
            </w:r>
            <w:r>
              <w:rPr>
                <w:position w:val="2"/>
                <w:sz w:val="22"/>
                <w:u w:val="single"/>
              </w:rPr>
              <w:t>MW</w:t>
            </w:r>
            <w:r>
              <w:rPr>
                <w:sz w:val="14"/>
                <w:u w:val="single"/>
              </w:rPr>
              <w:t>SO2</w:t>
            </w:r>
            <w:r>
              <w:rPr>
                <w:position w:val="2"/>
                <w:sz w:val="22"/>
                <w:u w:val="single"/>
              </w:rPr>
              <w:t>)</w:t>
              <w:tab/>
            </w:r>
          </w:p>
        </w:tc>
      </w:tr>
      <w:tr>
        <w:trPr>
          <w:trHeight w:val="261" w:hRule="atLeast"/>
        </w:trPr>
        <w:tc>
          <w:tcPr>
            <w:tcW w:w="1306" w:type="dxa"/>
            <w:vMerge/>
            <w:tcBorders>
              <w:top w:val="nil"/>
            </w:tcBorders>
          </w:tcPr>
          <w:p>
            <w:pPr>
              <w:rPr>
                <w:sz w:val="2"/>
                <w:szCs w:val="2"/>
              </w:rPr>
            </w:pPr>
          </w:p>
        </w:tc>
        <w:tc>
          <w:tcPr>
            <w:tcW w:w="4098" w:type="dxa"/>
          </w:tcPr>
          <w:p>
            <w:pPr>
              <w:pStyle w:val="TableParagraph"/>
              <w:tabs>
                <w:tab w:pos="984" w:val="left" w:leader="none"/>
              </w:tabs>
              <w:spacing w:line="237" w:lineRule="exact" w:before="4"/>
              <w:ind w:left="122"/>
              <w:rPr>
                <w:sz w:val="22"/>
              </w:rPr>
            </w:pPr>
            <w:r>
              <w:rPr>
                <w:sz w:val="22"/>
              </w:rPr>
              <w:t>BSFC</w:t>
              <w:tab/>
              <w:t>(% carbon in fuel /</w:t>
            </w:r>
            <w:r>
              <w:rPr>
                <w:spacing w:val="-4"/>
                <w:sz w:val="22"/>
              </w:rPr>
              <w:t> </w:t>
            </w:r>
            <w:r>
              <w:rPr>
                <w:sz w:val="22"/>
              </w:rPr>
              <w:t>100)</w:t>
            </w:r>
          </w:p>
        </w:tc>
      </w:tr>
    </w:tbl>
    <w:p>
      <w:pPr>
        <w:pStyle w:val="BodyText"/>
        <w:spacing w:before="11"/>
        <w:rPr>
          <w:sz w:val="13"/>
        </w:rPr>
      </w:pPr>
    </w:p>
    <w:p>
      <w:pPr>
        <w:pStyle w:val="BodyText"/>
        <w:spacing w:line="475" w:lineRule="auto" w:before="93"/>
        <w:ind w:left="1170" w:right="4996"/>
      </w:pPr>
      <w:r>
        <w:rPr/>
        <w:drawing>
          <wp:anchor distT="0" distB="0" distL="0" distR="0" allowOverlap="1" layoutInCell="1" locked="0" behindDoc="1" simplePos="0" relativeHeight="250151936">
            <wp:simplePos x="0" y="0"/>
            <wp:positionH relativeFrom="page">
              <wp:posOffset>2368613</wp:posOffset>
            </wp:positionH>
            <wp:positionV relativeFrom="paragraph">
              <wp:posOffset>-206783</wp:posOffset>
            </wp:positionV>
            <wp:extent cx="86296" cy="7620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9" cstate="print"/>
                    <a:stretch>
                      <a:fillRect/>
                    </a:stretch>
                  </pic:blipFill>
                  <pic:spPr>
                    <a:xfrm>
                      <a:off x="0" y="0"/>
                      <a:ext cx="86296" cy="76200"/>
                    </a:xfrm>
                    <a:prstGeom prst="rect">
                      <a:avLst/>
                    </a:prstGeom>
                  </pic:spPr>
                </pic:pic>
              </a:graphicData>
            </a:graphic>
          </wp:anchor>
        </w:drawing>
      </w:r>
      <w:r>
        <w:rPr>
          <w:position w:val="2"/>
        </w:rPr>
        <w:t>brake-specific SO</w:t>
      </w:r>
      <w:r>
        <w:rPr>
          <w:sz w:val="14"/>
        </w:rPr>
        <w:t>2 </w:t>
      </w:r>
      <w:r>
        <w:rPr>
          <w:position w:val="2"/>
        </w:rPr>
        <w:t>= 6.0 g/kW-hr MW</w:t>
      </w:r>
      <w:r>
        <w:rPr>
          <w:sz w:val="14"/>
        </w:rPr>
        <w:t>S </w:t>
      </w:r>
      <w:r>
        <w:rPr>
          <w:position w:val="2"/>
        </w:rPr>
        <w:t>= 32.065 g/mol</w:t>
      </w:r>
    </w:p>
    <w:p>
      <w:pPr>
        <w:pStyle w:val="BodyText"/>
        <w:spacing w:before="2"/>
        <w:ind w:left="1170"/>
      </w:pPr>
      <w:r>
        <w:rPr>
          <w:position w:val="2"/>
        </w:rPr>
        <w:t>MW</w:t>
      </w:r>
      <w:r>
        <w:rPr>
          <w:sz w:val="14"/>
        </w:rPr>
        <w:t>SO2 </w:t>
      </w:r>
      <w:r>
        <w:rPr>
          <w:position w:val="2"/>
        </w:rPr>
        <w:t>= 64.064 g/mol</w:t>
      </w:r>
    </w:p>
    <w:p>
      <w:pPr>
        <w:pStyle w:val="BodyText"/>
        <w:spacing w:before="10"/>
        <w:rPr>
          <w:sz w:val="21"/>
        </w:rPr>
      </w:pPr>
    </w:p>
    <w:p>
      <w:pPr>
        <w:pStyle w:val="BodyText"/>
        <w:ind w:left="1170"/>
      </w:pPr>
      <w:r>
        <w:rPr/>
        <w:t>BSFC = 200 g/kW-hr</w:t>
      </w:r>
    </w:p>
    <w:p>
      <w:pPr>
        <w:pStyle w:val="BodyText"/>
        <w:spacing w:before="1"/>
      </w:pPr>
    </w:p>
    <w:p>
      <w:pPr>
        <w:pStyle w:val="BodyText"/>
        <w:ind w:left="1170" w:right="413"/>
      </w:pPr>
      <w:r>
        <w:rPr/>
        <w:t>% carbon in 1.5% sulphur fuel (from table 1) = 85.05% (distillate) or 87.17% (residual)</w:t>
      </w:r>
    </w:p>
    <w:p>
      <w:pPr>
        <w:pStyle w:val="BodyText"/>
        <w:spacing w:before="1"/>
      </w:pPr>
    </w:p>
    <w:tbl>
      <w:tblPr>
        <w:tblW w:w="0" w:type="auto"/>
        <w:jc w:val="left"/>
        <w:tblInd w:w="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1"/>
        <w:gridCol w:w="2743"/>
        <w:gridCol w:w="1420"/>
      </w:tblGrid>
      <w:tr>
        <w:trPr>
          <w:trHeight w:val="259" w:hRule="atLeast"/>
        </w:trPr>
        <w:tc>
          <w:tcPr>
            <w:tcW w:w="1761" w:type="dxa"/>
            <w:vMerge w:val="restart"/>
          </w:tcPr>
          <w:p>
            <w:pPr>
              <w:pStyle w:val="TableParagraph"/>
              <w:tabs>
                <w:tab w:pos="2011" w:val="left" w:leader="none"/>
              </w:tabs>
              <w:spacing w:before="132"/>
              <w:ind w:left="200" w:right="-260"/>
              <w:jc w:val="left"/>
              <w:rPr>
                <w:sz w:val="22"/>
              </w:rPr>
            </w:pPr>
            <w:r>
              <w:rPr>
                <w:position w:val="2"/>
                <w:sz w:val="22"/>
              </w:rPr>
              <w:t>S/C</w:t>
            </w:r>
            <w:r>
              <w:rPr>
                <w:sz w:val="14"/>
              </w:rPr>
              <w:t>residual fuel</w:t>
            </w:r>
            <w:r>
              <w:rPr>
                <w:spacing w:val="15"/>
                <w:sz w:val="14"/>
              </w:rPr>
              <w:t> </w:t>
            </w:r>
            <w:r>
              <w:rPr>
                <w:position w:val="2"/>
                <w:sz w:val="22"/>
              </w:rPr>
              <w:t>= </w:t>
            </w:r>
            <w:r>
              <w:rPr>
                <w:spacing w:val="20"/>
                <w:position w:val="2"/>
                <w:sz w:val="22"/>
              </w:rPr>
              <w:t> </w:t>
            </w:r>
            <w:r>
              <w:rPr>
                <w:w w:val="100"/>
                <w:position w:val="15"/>
                <w:sz w:val="22"/>
                <w:u w:val="single"/>
              </w:rPr>
              <w:t> </w:t>
            </w:r>
            <w:r>
              <w:rPr>
                <w:position w:val="15"/>
                <w:sz w:val="22"/>
                <w:u w:val="single"/>
              </w:rPr>
              <w:tab/>
            </w:r>
          </w:p>
        </w:tc>
        <w:tc>
          <w:tcPr>
            <w:tcW w:w="2743" w:type="dxa"/>
          </w:tcPr>
          <w:p>
            <w:pPr>
              <w:pStyle w:val="TableParagraph"/>
              <w:tabs>
                <w:tab w:pos="832" w:val="left" w:leader="none"/>
                <w:tab w:pos="2867" w:val="left" w:leader="none"/>
              </w:tabs>
              <w:spacing w:line="240" w:lineRule="exact"/>
              <w:ind w:left="251" w:right="-130"/>
              <w:jc w:val="left"/>
              <w:rPr>
                <w:sz w:val="22"/>
              </w:rPr>
            </w:pPr>
            <w:r>
              <w:rPr>
                <w:sz w:val="22"/>
                <w:u w:val="single"/>
              </w:rPr>
              <w:t>6.0</w:t>
              <w:tab/>
              <w:t>(32.065 /</w:t>
            </w:r>
            <w:r>
              <w:rPr>
                <w:spacing w:val="-5"/>
                <w:sz w:val="22"/>
                <w:u w:val="single"/>
              </w:rPr>
              <w:t> </w:t>
            </w:r>
            <w:r>
              <w:rPr>
                <w:sz w:val="22"/>
                <w:u w:val="single"/>
              </w:rPr>
              <w:t>64.064)</w:t>
              <w:tab/>
            </w:r>
          </w:p>
        </w:tc>
        <w:tc>
          <w:tcPr>
            <w:tcW w:w="1420" w:type="dxa"/>
            <w:vMerge w:val="restart"/>
          </w:tcPr>
          <w:p>
            <w:pPr>
              <w:pStyle w:val="TableParagraph"/>
              <w:spacing w:before="133"/>
              <w:ind w:left="233"/>
              <w:jc w:val="left"/>
              <w:rPr>
                <w:sz w:val="22"/>
              </w:rPr>
            </w:pPr>
            <w:r>
              <w:rPr>
                <w:sz w:val="22"/>
              </w:rPr>
              <w:t>= 0.01723</w:t>
            </w:r>
          </w:p>
        </w:tc>
      </w:tr>
      <w:tr>
        <w:trPr>
          <w:trHeight w:val="261" w:hRule="atLeast"/>
        </w:trPr>
        <w:tc>
          <w:tcPr>
            <w:tcW w:w="1761" w:type="dxa"/>
            <w:vMerge/>
            <w:tcBorders>
              <w:top w:val="nil"/>
            </w:tcBorders>
          </w:tcPr>
          <w:p>
            <w:pPr>
              <w:rPr>
                <w:sz w:val="2"/>
                <w:szCs w:val="2"/>
              </w:rPr>
            </w:pPr>
          </w:p>
        </w:tc>
        <w:tc>
          <w:tcPr>
            <w:tcW w:w="2743" w:type="dxa"/>
          </w:tcPr>
          <w:p>
            <w:pPr>
              <w:pStyle w:val="TableParagraph"/>
              <w:tabs>
                <w:tab w:pos="978" w:val="left" w:leader="none"/>
              </w:tabs>
              <w:spacing w:line="236" w:lineRule="exact" w:before="5"/>
              <w:ind w:left="338"/>
              <w:jc w:val="left"/>
              <w:rPr>
                <w:sz w:val="22"/>
              </w:rPr>
            </w:pPr>
            <w:r>
              <w:rPr>
                <w:sz w:val="22"/>
              </w:rPr>
              <w:t>200</w:t>
              <w:tab/>
              <w:t>(87.17% /</w:t>
            </w:r>
            <w:r>
              <w:rPr>
                <w:spacing w:val="-1"/>
                <w:sz w:val="22"/>
              </w:rPr>
              <w:t> </w:t>
            </w:r>
            <w:r>
              <w:rPr>
                <w:sz w:val="22"/>
              </w:rPr>
              <w:t>100)</w:t>
            </w:r>
          </w:p>
        </w:tc>
        <w:tc>
          <w:tcPr>
            <w:tcW w:w="1420" w:type="dxa"/>
            <w:vMerge/>
            <w:tcBorders>
              <w:top w:val="nil"/>
            </w:tcBorders>
          </w:tcPr>
          <w:p>
            <w:pPr>
              <w:rPr>
                <w:sz w:val="2"/>
                <w:szCs w:val="2"/>
              </w:rPr>
            </w:pPr>
          </w:p>
        </w:tc>
      </w:tr>
    </w:tbl>
    <w:p>
      <w:pPr>
        <w:pStyle w:val="BodyText"/>
        <w:spacing w:before="1"/>
      </w:pPr>
    </w:p>
    <w:tbl>
      <w:tblPr>
        <w:tblW w:w="0" w:type="auto"/>
        <w:jc w:val="left"/>
        <w:tblInd w:w="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9"/>
        <w:gridCol w:w="2734"/>
        <w:gridCol w:w="1420"/>
      </w:tblGrid>
      <w:tr>
        <w:trPr>
          <w:trHeight w:val="261" w:hRule="atLeast"/>
        </w:trPr>
        <w:tc>
          <w:tcPr>
            <w:tcW w:w="1769" w:type="dxa"/>
            <w:vMerge w:val="restart"/>
          </w:tcPr>
          <w:p>
            <w:pPr>
              <w:pStyle w:val="TableParagraph"/>
              <w:tabs>
                <w:tab w:pos="2011" w:val="left" w:leader="none"/>
              </w:tabs>
              <w:spacing w:before="135"/>
              <w:ind w:left="200" w:right="-245"/>
              <w:jc w:val="left"/>
              <w:rPr>
                <w:sz w:val="22"/>
              </w:rPr>
            </w:pPr>
            <w:r>
              <w:rPr>
                <w:position w:val="2"/>
                <w:sz w:val="22"/>
              </w:rPr>
              <w:t>S/C</w:t>
            </w:r>
            <w:r>
              <w:rPr>
                <w:sz w:val="14"/>
              </w:rPr>
              <w:t>distillate fuel</w:t>
            </w:r>
            <w:r>
              <w:rPr>
                <w:spacing w:val="17"/>
                <w:sz w:val="14"/>
              </w:rPr>
              <w:t> </w:t>
            </w:r>
            <w:r>
              <w:rPr>
                <w:position w:val="2"/>
                <w:sz w:val="22"/>
              </w:rPr>
              <w:t>= </w:t>
            </w:r>
            <w:r>
              <w:rPr>
                <w:spacing w:val="3"/>
                <w:position w:val="2"/>
                <w:sz w:val="22"/>
              </w:rPr>
              <w:t> </w:t>
            </w:r>
            <w:r>
              <w:rPr>
                <w:w w:val="100"/>
                <w:position w:val="16"/>
                <w:sz w:val="22"/>
                <w:u w:val="single"/>
              </w:rPr>
              <w:t> </w:t>
            </w:r>
            <w:r>
              <w:rPr>
                <w:position w:val="16"/>
                <w:sz w:val="22"/>
                <w:u w:val="single"/>
              </w:rPr>
              <w:tab/>
            </w:r>
          </w:p>
        </w:tc>
        <w:tc>
          <w:tcPr>
            <w:tcW w:w="2734" w:type="dxa"/>
          </w:tcPr>
          <w:p>
            <w:pPr>
              <w:pStyle w:val="TableParagraph"/>
              <w:tabs>
                <w:tab w:pos="824" w:val="left" w:leader="none"/>
                <w:tab w:pos="2859" w:val="left" w:leader="none"/>
              </w:tabs>
              <w:spacing w:line="241" w:lineRule="exact"/>
              <w:ind w:left="242" w:right="-130"/>
              <w:jc w:val="left"/>
              <w:rPr>
                <w:sz w:val="22"/>
              </w:rPr>
            </w:pPr>
            <w:r>
              <w:rPr>
                <w:sz w:val="22"/>
                <w:u w:val="single"/>
              </w:rPr>
              <w:t>6.0</w:t>
              <w:tab/>
              <w:t>(32.065 /</w:t>
            </w:r>
            <w:r>
              <w:rPr>
                <w:spacing w:val="-5"/>
                <w:sz w:val="22"/>
                <w:u w:val="single"/>
              </w:rPr>
              <w:t> </w:t>
            </w:r>
            <w:r>
              <w:rPr>
                <w:sz w:val="22"/>
                <w:u w:val="single"/>
              </w:rPr>
              <w:t>64.064)</w:t>
              <w:tab/>
            </w:r>
          </w:p>
        </w:tc>
        <w:tc>
          <w:tcPr>
            <w:tcW w:w="1420" w:type="dxa"/>
            <w:vMerge w:val="restart"/>
          </w:tcPr>
          <w:p>
            <w:pPr>
              <w:pStyle w:val="TableParagraph"/>
              <w:spacing w:before="135"/>
              <w:ind w:left="233"/>
              <w:jc w:val="left"/>
              <w:rPr>
                <w:sz w:val="22"/>
              </w:rPr>
            </w:pPr>
            <w:r>
              <w:rPr>
                <w:sz w:val="22"/>
              </w:rPr>
              <w:t>= 0.01765</w:t>
            </w:r>
          </w:p>
        </w:tc>
      </w:tr>
      <w:tr>
        <w:trPr>
          <w:trHeight w:val="260" w:hRule="atLeast"/>
        </w:trPr>
        <w:tc>
          <w:tcPr>
            <w:tcW w:w="1769" w:type="dxa"/>
            <w:vMerge/>
            <w:tcBorders>
              <w:top w:val="nil"/>
            </w:tcBorders>
          </w:tcPr>
          <w:p>
            <w:pPr>
              <w:rPr>
                <w:sz w:val="2"/>
                <w:szCs w:val="2"/>
              </w:rPr>
            </w:pPr>
          </w:p>
        </w:tc>
        <w:tc>
          <w:tcPr>
            <w:tcW w:w="2734" w:type="dxa"/>
          </w:tcPr>
          <w:p>
            <w:pPr>
              <w:pStyle w:val="TableParagraph"/>
              <w:tabs>
                <w:tab w:pos="970" w:val="left" w:leader="none"/>
              </w:tabs>
              <w:spacing w:line="236" w:lineRule="exact" w:before="4"/>
              <w:ind w:left="330"/>
              <w:jc w:val="left"/>
              <w:rPr>
                <w:sz w:val="22"/>
              </w:rPr>
            </w:pPr>
            <w:r>
              <w:rPr>
                <w:sz w:val="22"/>
              </w:rPr>
              <w:t>200</w:t>
              <w:tab/>
              <w:t>(85.05% /</w:t>
            </w:r>
            <w:r>
              <w:rPr>
                <w:spacing w:val="-1"/>
                <w:sz w:val="22"/>
              </w:rPr>
              <w:t> </w:t>
            </w:r>
            <w:r>
              <w:rPr>
                <w:sz w:val="22"/>
              </w:rPr>
              <w:t>100)</w:t>
            </w:r>
          </w:p>
        </w:tc>
        <w:tc>
          <w:tcPr>
            <w:tcW w:w="1420" w:type="dxa"/>
            <w:vMerge/>
            <w:tcBorders>
              <w:top w:val="nil"/>
            </w:tcBorders>
          </w:tcPr>
          <w:p>
            <w:pPr>
              <w:rPr>
                <w:sz w:val="2"/>
                <w:szCs w:val="2"/>
              </w:rPr>
            </w:pPr>
          </w:p>
        </w:tc>
      </w:tr>
    </w:tbl>
    <w:p>
      <w:pPr>
        <w:pStyle w:val="BodyText"/>
        <w:spacing w:before="2"/>
      </w:pPr>
    </w:p>
    <w:p>
      <w:pPr>
        <w:pStyle w:val="BodyText"/>
        <w:ind w:left="1170" w:right="419" w:hanging="852"/>
        <w:jc w:val="both"/>
      </w:pPr>
      <w:r>
        <w:rPr/>
        <w:t>Note 1: The S/C mass ratios calculated above, based on 6.0 g/kWh and 200 g/kWh BSFC, are both within 0.10% of the S/C mass ratios in the emissions table (Table 2). </w:t>
      </w:r>
      <w:r>
        <w:rPr>
          <w:position w:val="2"/>
        </w:rPr>
        <w:t>Therefore, 65 (ppm</w:t>
      </w:r>
      <w:r>
        <w:rPr>
          <w:position w:val="2"/>
          <w:vertAlign w:val="superscript"/>
        </w:rPr>
        <w:t>4</w:t>
      </w:r>
      <w:r>
        <w:rPr>
          <w:position w:val="2"/>
          <w:vertAlign w:val="baseline"/>
        </w:rPr>
        <w:t>/%) SO</w:t>
      </w:r>
      <w:r>
        <w:rPr>
          <w:sz w:val="14"/>
          <w:vertAlign w:val="baseline"/>
        </w:rPr>
        <w:t>2</w:t>
      </w:r>
      <w:r>
        <w:rPr>
          <w:position w:val="2"/>
          <w:vertAlign w:val="baseline"/>
        </w:rPr>
        <w:t>/CO</w:t>
      </w:r>
      <w:r>
        <w:rPr>
          <w:sz w:val="14"/>
          <w:vertAlign w:val="baseline"/>
        </w:rPr>
        <w:t>2 </w:t>
      </w:r>
      <w:r>
        <w:rPr>
          <w:position w:val="2"/>
          <w:vertAlign w:val="baseline"/>
        </w:rPr>
        <w:t>corresponds well to 6.0 g/kWh.</w:t>
      </w:r>
    </w:p>
    <w:p>
      <w:pPr>
        <w:pStyle w:val="BodyText"/>
        <w:spacing w:before="1"/>
        <w:rPr>
          <w:sz w:val="20"/>
        </w:rPr>
      </w:pPr>
    </w:p>
    <w:p>
      <w:pPr>
        <w:pStyle w:val="BodyText"/>
        <w:spacing w:before="1"/>
        <w:ind w:left="1170" w:right="413" w:hanging="852"/>
        <w:jc w:val="both"/>
      </w:pPr>
      <w:r>
        <w:rPr/>
        <w:t>Note 2: The value of 6.0 g/kWh, hence the 200g/kWh brake-specified fuel consumption is taken from MARPOL Annex VI as adopted by the 1997 MARPOL Conference.</w:t>
      </w:r>
    </w:p>
    <w:p>
      <w:pPr>
        <w:pStyle w:val="BodyText"/>
        <w:rPr>
          <w:sz w:val="24"/>
        </w:rPr>
      </w:pPr>
    </w:p>
    <w:p>
      <w:pPr>
        <w:pStyle w:val="BodyText"/>
        <w:spacing w:before="1"/>
        <w:rPr>
          <w:sz w:val="20"/>
        </w:rPr>
      </w:pPr>
    </w:p>
    <w:p>
      <w:pPr>
        <w:pStyle w:val="ListParagraph"/>
        <w:numPr>
          <w:ilvl w:val="0"/>
          <w:numId w:val="17"/>
        </w:numPr>
        <w:tabs>
          <w:tab w:pos="1170" w:val="left" w:leader="none"/>
          <w:tab w:pos="1171" w:val="left" w:leader="none"/>
        </w:tabs>
        <w:spacing w:line="240" w:lineRule="auto" w:before="0" w:after="0"/>
        <w:ind w:left="1170" w:right="0" w:hanging="853"/>
        <w:jc w:val="left"/>
        <w:rPr>
          <w:sz w:val="22"/>
        </w:rPr>
      </w:pPr>
      <w:r>
        <w:rPr>
          <w:sz w:val="22"/>
        </w:rPr>
        <w:t>Thus, the working formulas are as</w:t>
      </w:r>
      <w:r>
        <w:rPr>
          <w:spacing w:val="-8"/>
          <w:sz w:val="22"/>
        </w:rPr>
        <w:t> </w:t>
      </w:r>
      <w:r>
        <w:rPr>
          <w:sz w:val="22"/>
        </w:rPr>
        <w:t>follows:</w:t>
      </w:r>
    </w:p>
    <w:p>
      <w:pPr>
        <w:pStyle w:val="BodyText"/>
        <w:spacing w:before="7"/>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3"/>
        <w:gridCol w:w="1421"/>
        <w:gridCol w:w="759"/>
      </w:tblGrid>
      <w:tr>
        <w:trPr>
          <w:trHeight w:val="255" w:hRule="atLeast"/>
        </w:trPr>
        <w:tc>
          <w:tcPr>
            <w:tcW w:w="3033" w:type="dxa"/>
            <w:vMerge w:val="restart"/>
          </w:tcPr>
          <w:p>
            <w:pPr>
              <w:pStyle w:val="TableParagraph"/>
              <w:spacing w:before="123"/>
              <w:ind w:left="200"/>
              <w:jc w:val="left"/>
              <w:rPr>
                <w:sz w:val="22"/>
              </w:rPr>
            </w:pPr>
            <w:r>
              <w:rPr>
                <w:sz w:val="22"/>
              </w:rPr>
              <w:t>For complete combustion =</w:t>
            </w:r>
          </w:p>
        </w:tc>
        <w:tc>
          <w:tcPr>
            <w:tcW w:w="1421" w:type="dxa"/>
          </w:tcPr>
          <w:p>
            <w:pPr>
              <w:pStyle w:val="TableParagraph"/>
              <w:spacing w:line="235" w:lineRule="exact"/>
              <w:ind w:left="28" w:right="-29"/>
              <w:rPr>
                <w:sz w:val="22"/>
              </w:rPr>
            </w:pPr>
            <w:r>
              <w:rPr>
                <w:w w:val="100"/>
                <w:position w:val="2"/>
                <w:sz w:val="22"/>
                <w:u w:val="single"/>
              </w:rPr>
              <w:t> </w:t>
            </w:r>
            <w:r>
              <w:rPr>
                <w:spacing w:val="23"/>
                <w:position w:val="2"/>
                <w:sz w:val="22"/>
                <w:u w:val="single"/>
              </w:rPr>
              <w:t> </w:t>
            </w:r>
            <w:r>
              <w:rPr>
                <w:position w:val="2"/>
                <w:sz w:val="22"/>
                <w:u w:val="single"/>
              </w:rPr>
              <w:t>SO</w:t>
            </w:r>
            <w:r>
              <w:rPr>
                <w:sz w:val="14"/>
                <w:u w:val="single"/>
              </w:rPr>
              <w:t>2</w:t>
            </w:r>
            <w:r>
              <w:rPr>
                <w:spacing w:val="21"/>
                <w:sz w:val="14"/>
                <w:u w:val="single"/>
              </w:rPr>
              <w:t> </w:t>
            </w:r>
            <w:r>
              <w:rPr>
                <w:position w:val="2"/>
                <w:sz w:val="22"/>
                <w:u w:val="single"/>
              </w:rPr>
              <w:t>(ppm*)</w:t>
            </w:r>
            <w:r>
              <w:rPr>
                <w:spacing w:val="30"/>
                <w:position w:val="2"/>
                <w:sz w:val="22"/>
                <w:u w:val="single"/>
              </w:rPr>
              <w:t> </w:t>
            </w:r>
          </w:p>
        </w:tc>
        <w:tc>
          <w:tcPr>
            <w:tcW w:w="759" w:type="dxa"/>
            <w:vMerge w:val="restart"/>
          </w:tcPr>
          <w:p>
            <w:pPr>
              <w:pStyle w:val="TableParagraph"/>
              <w:spacing w:before="118"/>
              <w:ind w:left="131"/>
              <w:jc w:val="left"/>
              <w:rPr>
                <w:sz w:val="22"/>
              </w:rPr>
            </w:pPr>
            <w:r>
              <w:rPr>
                <w:rFonts w:ascii="Symbol" w:hAnsi="Symbol"/>
                <w:sz w:val="22"/>
              </w:rPr>
              <w:t></w:t>
            </w:r>
            <w:r>
              <w:rPr>
                <w:rFonts w:ascii="Times New Roman" w:hAnsi="Times New Roman"/>
                <w:sz w:val="22"/>
              </w:rPr>
              <w:t> </w:t>
            </w:r>
            <w:r>
              <w:rPr>
                <w:sz w:val="22"/>
              </w:rPr>
              <w:t>65</w:t>
            </w:r>
          </w:p>
        </w:tc>
      </w:tr>
      <w:tr>
        <w:trPr>
          <w:trHeight w:val="255" w:hRule="atLeast"/>
        </w:trPr>
        <w:tc>
          <w:tcPr>
            <w:tcW w:w="3033" w:type="dxa"/>
            <w:vMerge/>
            <w:tcBorders>
              <w:top w:val="nil"/>
            </w:tcBorders>
          </w:tcPr>
          <w:p>
            <w:pPr>
              <w:rPr>
                <w:sz w:val="2"/>
                <w:szCs w:val="2"/>
              </w:rPr>
            </w:pPr>
          </w:p>
        </w:tc>
        <w:tc>
          <w:tcPr>
            <w:tcW w:w="1421" w:type="dxa"/>
          </w:tcPr>
          <w:p>
            <w:pPr>
              <w:pStyle w:val="TableParagraph"/>
              <w:spacing w:line="235" w:lineRule="exact"/>
              <w:ind w:left="277" w:right="229"/>
              <w:rPr>
                <w:sz w:val="22"/>
              </w:rPr>
            </w:pPr>
            <w:r>
              <w:rPr>
                <w:position w:val="2"/>
                <w:sz w:val="22"/>
              </w:rPr>
              <w:t>CO</w:t>
            </w:r>
            <w:r>
              <w:rPr>
                <w:sz w:val="14"/>
              </w:rPr>
              <w:t>2 </w:t>
            </w:r>
            <w:r>
              <w:rPr>
                <w:position w:val="2"/>
                <w:sz w:val="22"/>
              </w:rPr>
              <w:t>(%*)</w:t>
            </w:r>
          </w:p>
        </w:tc>
        <w:tc>
          <w:tcPr>
            <w:tcW w:w="759" w:type="dxa"/>
            <w:vMerge/>
            <w:tcBorders>
              <w:top w:val="nil"/>
            </w:tcBorders>
          </w:tcPr>
          <w:p>
            <w:pPr>
              <w:rPr>
                <w:sz w:val="2"/>
                <w:szCs w:val="2"/>
              </w:rPr>
            </w:pPr>
          </w:p>
        </w:tc>
      </w:tr>
    </w:tbl>
    <w:p>
      <w:pPr>
        <w:pStyle w:val="BodyText"/>
        <w:spacing w:before="4" w:after="1"/>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0"/>
        <w:gridCol w:w="5417"/>
        <w:gridCol w:w="748"/>
      </w:tblGrid>
      <w:tr>
        <w:trPr>
          <w:trHeight w:val="256" w:hRule="atLeast"/>
        </w:trPr>
        <w:tc>
          <w:tcPr>
            <w:tcW w:w="3020" w:type="dxa"/>
            <w:vMerge w:val="restart"/>
          </w:tcPr>
          <w:p>
            <w:pPr>
              <w:pStyle w:val="TableParagraph"/>
              <w:spacing w:before="125"/>
              <w:ind w:left="200"/>
              <w:jc w:val="left"/>
              <w:rPr>
                <w:sz w:val="22"/>
              </w:rPr>
            </w:pPr>
            <w:r>
              <w:rPr>
                <w:sz w:val="22"/>
              </w:rPr>
              <w:t>For complete combustion =</w:t>
            </w:r>
          </w:p>
        </w:tc>
        <w:tc>
          <w:tcPr>
            <w:tcW w:w="5417" w:type="dxa"/>
          </w:tcPr>
          <w:p>
            <w:pPr>
              <w:pStyle w:val="TableParagraph"/>
              <w:tabs>
                <w:tab w:pos="2172" w:val="left" w:leader="none"/>
                <w:tab w:pos="5427" w:val="left" w:leader="none"/>
              </w:tabs>
              <w:spacing w:line="236" w:lineRule="exact"/>
              <w:ind w:left="41" w:right="-15"/>
              <w:rPr>
                <w:sz w:val="22"/>
              </w:rPr>
            </w:pPr>
            <w:r>
              <w:rPr>
                <w:w w:val="100"/>
                <w:position w:val="2"/>
                <w:sz w:val="22"/>
                <w:u w:val="single"/>
              </w:rPr>
              <w:t> </w:t>
            </w:r>
            <w:r>
              <w:rPr>
                <w:position w:val="2"/>
                <w:sz w:val="22"/>
                <w:u w:val="single"/>
              </w:rPr>
              <w:tab/>
              <w:t>SO</w:t>
            </w:r>
            <w:r>
              <w:rPr>
                <w:sz w:val="14"/>
                <w:u w:val="single"/>
              </w:rPr>
              <w:t>2</w:t>
            </w:r>
            <w:r>
              <w:rPr>
                <w:spacing w:val="19"/>
                <w:sz w:val="14"/>
                <w:u w:val="single"/>
              </w:rPr>
              <w:t> </w:t>
            </w:r>
            <w:r>
              <w:rPr>
                <w:position w:val="2"/>
                <w:sz w:val="22"/>
                <w:u w:val="single"/>
              </w:rPr>
              <w:t>(ppm*)</w:t>
              <w:tab/>
            </w:r>
          </w:p>
        </w:tc>
        <w:tc>
          <w:tcPr>
            <w:tcW w:w="748" w:type="dxa"/>
            <w:vMerge w:val="restart"/>
          </w:tcPr>
          <w:p>
            <w:pPr>
              <w:pStyle w:val="TableParagraph"/>
              <w:spacing w:before="118"/>
              <w:ind w:left="118"/>
              <w:jc w:val="left"/>
              <w:rPr>
                <w:sz w:val="22"/>
              </w:rPr>
            </w:pPr>
            <w:r>
              <w:rPr>
                <w:rFonts w:ascii="Symbol" w:hAnsi="Symbol"/>
                <w:sz w:val="22"/>
              </w:rPr>
              <w:t></w:t>
            </w:r>
            <w:r>
              <w:rPr>
                <w:rFonts w:ascii="Times New Roman" w:hAnsi="Times New Roman"/>
                <w:sz w:val="22"/>
              </w:rPr>
              <w:t> </w:t>
            </w:r>
            <w:r>
              <w:rPr>
                <w:sz w:val="22"/>
              </w:rPr>
              <w:t>65</w:t>
            </w:r>
          </w:p>
        </w:tc>
      </w:tr>
      <w:tr>
        <w:trPr>
          <w:trHeight w:val="256" w:hRule="atLeast"/>
        </w:trPr>
        <w:tc>
          <w:tcPr>
            <w:tcW w:w="3020" w:type="dxa"/>
            <w:vMerge/>
            <w:tcBorders>
              <w:top w:val="nil"/>
            </w:tcBorders>
          </w:tcPr>
          <w:p>
            <w:pPr>
              <w:rPr>
                <w:sz w:val="2"/>
                <w:szCs w:val="2"/>
              </w:rPr>
            </w:pPr>
          </w:p>
        </w:tc>
        <w:tc>
          <w:tcPr>
            <w:tcW w:w="5417" w:type="dxa"/>
          </w:tcPr>
          <w:p>
            <w:pPr>
              <w:pStyle w:val="TableParagraph"/>
              <w:spacing w:line="236" w:lineRule="exact"/>
              <w:ind w:left="151" w:right="108"/>
              <w:rPr>
                <w:sz w:val="22"/>
              </w:rPr>
            </w:pPr>
            <w:r>
              <w:rPr>
                <w:position w:val="2"/>
                <w:sz w:val="22"/>
              </w:rPr>
              <w:t>CO</w:t>
            </w:r>
            <w:r>
              <w:rPr>
                <w:sz w:val="14"/>
              </w:rPr>
              <w:t>2 </w:t>
            </w:r>
            <w:r>
              <w:rPr>
                <w:position w:val="2"/>
                <w:sz w:val="22"/>
              </w:rPr>
              <w:t>(%*) + (CO(ppm*)/10000) + (THC(ppm*)/10000)</w:t>
            </w:r>
          </w:p>
        </w:tc>
        <w:tc>
          <w:tcPr>
            <w:tcW w:w="748" w:type="dxa"/>
            <w:vMerge/>
            <w:tcBorders>
              <w:top w:val="nil"/>
            </w:tcBorders>
          </w:tcPr>
          <w:p>
            <w:pPr>
              <w:rPr>
                <w:sz w:val="2"/>
                <w:szCs w:val="2"/>
              </w:rPr>
            </w:pPr>
          </w:p>
        </w:tc>
      </w:tr>
    </w:tbl>
    <w:p>
      <w:pPr>
        <w:pStyle w:val="BodyText"/>
        <w:spacing w:before="7"/>
        <w:rPr>
          <w:sz w:val="21"/>
        </w:rPr>
      </w:pPr>
    </w:p>
    <w:p>
      <w:pPr>
        <w:pStyle w:val="ListParagraph"/>
        <w:numPr>
          <w:ilvl w:val="0"/>
          <w:numId w:val="16"/>
        </w:numPr>
        <w:tabs>
          <w:tab w:pos="468" w:val="left" w:leader="none"/>
        </w:tabs>
        <w:spacing w:line="240" w:lineRule="auto" w:before="0" w:after="0"/>
        <w:ind w:left="1170" w:right="419" w:hanging="852"/>
        <w:jc w:val="both"/>
        <w:rPr>
          <w:sz w:val="22"/>
        </w:rPr>
      </w:pPr>
      <w:r>
        <w:rPr>
          <w:sz w:val="22"/>
        </w:rPr>
        <w:t>Note: gas concentrations must be sampled or converted to the same residual  water content (e.g., fully wet, fully</w:t>
      </w:r>
      <w:r>
        <w:rPr>
          <w:spacing w:val="-7"/>
          <w:sz w:val="22"/>
        </w:rPr>
        <w:t> </w:t>
      </w:r>
      <w:r>
        <w:rPr>
          <w:sz w:val="22"/>
        </w:rPr>
        <w:t>dry).</w:t>
      </w:r>
    </w:p>
    <w:p>
      <w:pPr>
        <w:pStyle w:val="BodyText"/>
        <w:spacing w:before="6"/>
        <w:rPr>
          <w:sz w:val="23"/>
        </w:rPr>
      </w:pPr>
    </w:p>
    <w:p>
      <w:pPr>
        <w:pStyle w:val="ListParagraph"/>
        <w:numPr>
          <w:ilvl w:val="0"/>
          <w:numId w:val="17"/>
        </w:numPr>
        <w:tabs>
          <w:tab w:pos="1170" w:val="left" w:leader="none"/>
          <w:tab w:pos="1171" w:val="left" w:leader="none"/>
        </w:tabs>
        <w:spacing w:line="220" w:lineRule="auto" w:before="0" w:after="0"/>
        <w:ind w:left="318" w:right="416" w:firstLine="0"/>
        <w:jc w:val="left"/>
        <w:rPr>
          <w:sz w:val="22"/>
        </w:rPr>
      </w:pPr>
      <w:r>
        <w:rPr>
          <w:position w:val="2"/>
          <w:sz w:val="22"/>
        </w:rPr>
        <w:t>The following is the basis of using the (ppm</w:t>
      </w:r>
      <w:r>
        <w:rPr>
          <w:position w:val="2"/>
          <w:sz w:val="22"/>
          <w:vertAlign w:val="superscript"/>
        </w:rPr>
        <w:t>4</w:t>
      </w:r>
      <w:r>
        <w:rPr>
          <w:position w:val="2"/>
          <w:sz w:val="22"/>
          <w:vertAlign w:val="baseline"/>
        </w:rPr>
        <w:t>/%) SO</w:t>
      </w:r>
      <w:r>
        <w:rPr>
          <w:sz w:val="14"/>
          <w:vertAlign w:val="baseline"/>
        </w:rPr>
        <w:t>2</w:t>
      </w:r>
      <w:r>
        <w:rPr>
          <w:position w:val="2"/>
          <w:sz w:val="22"/>
          <w:vertAlign w:val="baseline"/>
        </w:rPr>
        <w:t>/CO</w:t>
      </w:r>
      <w:r>
        <w:rPr>
          <w:sz w:val="14"/>
          <w:vertAlign w:val="baseline"/>
        </w:rPr>
        <w:t>2 </w:t>
      </w:r>
      <w:r>
        <w:rPr>
          <w:position w:val="2"/>
          <w:sz w:val="22"/>
          <w:vertAlign w:val="baseline"/>
        </w:rPr>
        <w:t>as the limit for determining</w:t>
      </w:r>
      <w:r>
        <w:rPr>
          <w:sz w:val="22"/>
          <w:vertAlign w:val="baseline"/>
        </w:rPr>
        <w:t> compliance with regulation 14.1 or 14.4 of MARPOL Annex</w:t>
      </w:r>
      <w:r>
        <w:rPr>
          <w:spacing w:val="-5"/>
          <w:sz w:val="22"/>
          <w:vertAlign w:val="baseline"/>
        </w:rPr>
        <w:t> </w:t>
      </w:r>
      <w:r>
        <w:rPr>
          <w:sz w:val="22"/>
          <w:vertAlign w:val="baseline"/>
        </w:rPr>
        <w:t>VI:</w:t>
      </w:r>
    </w:p>
    <w:p>
      <w:pPr>
        <w:pStyle w:val="BodyText"/>
        <w:spacing w:before="5"/>
      </w:pPr>
    </w:p>
    <w:p>
      <w:pPr>
        <w:pStyle w:val="ListParagraph"/>
        <w:numPr>
          <w:ilvl w:val="1"/>
          <w:numId w:val="17"/>
        </w:numPr>
        <w:tabs>
          <w:tab w:pos="2020" w:val="left" w:leader="none"/>
          <w:tab w:pos="2021" w:val="left" w:leader="none"/>
        </w:tabs>
        <w:spacing w:line="240" w:lineRule="auto" w:before="0" w:after="0"/>
        <w:ind w:left="2020" w:right="421" w:hanging="850"/>
        <w:jc w:val="left"/>
        <w:rPr>
          <w:sz w:val="22"/>
        </w:rPr>
      </w:pPr>
      <w:r>
        <w:rPr>
          <w:sz w:val="22"/>
        </w:rPr>
        <w:t>This limit can be used to determine compliance from fuel oil burners that do not produce mechanical</w:t>
      </w:r>
      <w:r>
        <w:rPr>
          <w:spacing w:val="-4"/>
          <w:sz w:val="22"/>
        </w:rPr>
        <w:t> </w:t>
      </w:r>
      <w:r>
        <w:rPr>
          <w:sz w:val="22"/>
        </w:rPr>
        <w:t>power.</w:t>
      </w:r>
    </w:p>
    <w:p>
      <w:pPr>
        <w:pStyle w:val="ListParagraph"/>
        <w:numPr>
          <w:ilvl w:val="1"/>
          <w:numId w:val="17"/>
        </w:numPr>
        <w:tabs>
          <w:tab w:pos="2020" w:val="left" w:leader="none"/>
          <w:tab w:pos="2021" w:val="left" w:leader="none"/>
        </w:tabs>
        <w:spacing w:line="240" w:lineRule="auto" w:before="207" w:after="0"/>
        <w:ind w:left="2020" w:right="416" w:hanging="850"/>
        <w:jc w:val="left"/>
        <w:rPr>
          <w:sz w:val="22"/>
        </w:rPr>
      </w:pPr>
      <w:r>
        <w:rPr>
          <w:sz w:val="22"/>
        </w:rPr>
        <w:t>This limit can be used to determine compliance at any power output, including</w:t>
      </w:r>
      <w:r>
        <w:rPr>
          <w:spacing w:val="1"/>
          <w:sz w:val="22"/>
        </w:rPr>
        <w:t> </w:t>
      </w:r>
      <w:r>
        <w:rPr>
          <w:sz w:val="22"/>
        </w:rPr>
        <w:t>idle.</w:t>
      </w:r>
    </w:p>
    <w:p>
      <w:pPr>
        <w:spacing w:after="0" w:line="240" w:lineRule="auto"/>
        <w:jc w:val="left"/>
        <w:rPr>
          <w:sz w:val="22"/>
        </w:rPr>
        <w:sectPr>
          <w:pgSz w:w="11910" w:h="16840"/>
          <w:pgMar w:header="856" w:footer="865" w:top="1540" w:bottom="1000" w:left="1100" w:right="1000"/>
        </w:sectPr>
      </w:pPr>
    </w:p>
    <w:p>
      <w:pPr>
        <w:pStyle w:val="ListParagraph"/>
        <w:numPr>
          <w:ilvl w:val="1"/>
          <w:numId w:val="17"/>
        </w:numPr>
        <w:tabs>
          <w:tab w:pos="2020" w:val="left" w:leader="none"/>
          <w:tab w:pos="2021" w:val="left" w:leader="none"/>
        </w:tabs>
        <w:spacing w:line="240" w:lineRule="auto" w:before="89" w:after="0"/>
        <w:ind w:left="2020" w:right="417" w:hanging="850"/>
        <w:jc w:val="both"/>
        <w:rPr>
          <w:sz w:val="22"/>
        </w:rPr>
      </w:pPr>
      <w:r>
        <w:rPr>
          <w:sz w:val="22"/>
        </w:rPr>
        <w:t>This limit only requires two gas concentration measurements at one sampling</w:t>
      </w:r>
      <w:r>
        <w:rPr>
          <w:spacing w:val="-1"/>
          <w:sz w:val="22"/>
        </w:rPr>
        <w:t> </w:t>
      </w:r>
      <w:r>
        <w:rPr>
          <w:sz w:val="22"/>
        </w:rPr>
        <w:t>location.</w:t>
      </w:r>
    </w:p>
    <w:p>
      <w:pPr>
        <w:pStyle w:val="BodyText"/>
        <w:spacing w:before="2"/>
      </w:pPr>
    </w:p>
    <w:p>
      <w:pPr>
        <w:pStyle w:val="ListParagraph"/>
        <w:numPr>
          <w:ilvl w:val="1"/>
          <w:numId w:val="17"/>
        </w:numPr>
        <w:tabs>
          <w:tab w:pos="2020" w:val="left" w:leader="none"/>
          <w:tab w:pos="2021" w:val="left" w:leader="none"/>
        </w:tabs>
        <w:spacing w:line="240" w:lineRule="auto" w:before="0" w:after="0"/>
        <w:ind w:left="2020" w:right="418" w:hanging="850"/>
        <w:jc w:val="both"/>
        <w:rPr>
          <w:sz w:val="22"/>
        </w:rPr>
      </w:pPr>
      <w:r>
        <w:rPr>
          <w:sz w:val="22"/>
        </w:rPr>
        <w:t>There is no need to measure any engine parameters such as engine speed, engine torque, engine exhaust flow, or engine fuel</w:t>
      </w:r>
      <w:r>
        <w:rPr>
          <w:spacing w:val="-10"/>
          <w:sz w:val="22"/>
        </w:rPr>
        <w:t> </w:t>
      </w:r>
      <w:r>
        <w:rPr>
          <w:sz w:val="22"/>
        </w:rPr>
        <w:t>flow.</w:t>
      </w:r>
    </w:p>
    <w:p>
      <w:pPr>
        <w:pStyle w:val="BodyText"/>
        <w:spacing w:before="11"/>
        <w:rPr>
          <w:sz w:val="21"/>
        </w:rPr>
      </w:pPr>
    </w:p>
    <w:p>
      <w:pPr>
        <w:pStyle w:val="ListParagraph"/>
        <w:numPr>
          <w:ilvl w:val="1"/>
          <w:numId w:val="17"/>
        </w:numPr>
        <w:tabs>
          <w:tab w:pos="2020" w:val="left" w:leader="none"/>
          <w:tab w:pos="2021" w:val="left" w:leader="none"/>
        </w:tabs>
        <w:spacing w:line="240" w:lineRule="auto" w:before="0" w:after="0"/>
        <w:ind w:left="2020" w:right="413" w:hanging="850"/>
        <w:jc w:val="both"/>
        <w:rPr>
          <w:sz w:val="22"/>
        </w:rPr>
      </w:pPr>
      <w:r>
        <w:rPr>
          <w:sz w:val="22"/>
        </w:rPr>
        <w:t>If both gas concentration measurements are made at the same residual water content in the sample (e.g., fully wet, fully dry), no dry-to-wet conversion factors are required in the</w:t>
      </w:r>
      <w:r>
        <w:rPr>
          <w:spacing w:val="-10"/>
          <w:sz w:val="22"/>
        </w:rPr>
        <w:t> </w:t>
      </w:r>
      <w:r>
        <w:rPr>
          <w:sz w:val="22"/>
        </w:rPr>
        <w:t>calculation.</w:t>
      </w:r>
    </w:p>
    <w:p>
      <w:pPr>
        <w:pStyle w:val="BodyText"/>
        <w:spacing w:before="10"/>
        <w:rPr>
          <w:sz w:val="21"/>
        </w:rPr>
      </w:pPr>
    </w:p>
    <w:p>
      <w:pPr>
        <w:pStyle w:val="ListParagraph"/>
        <w:numPr>
          <w:ilvl w:val="1"/>
          <w:numId w:val="17"/>
        </w:numPr>
        <w:tabs>
          <w:tab w:pos="2020" w:val="left" w:leader="none"/>
          <w:tab w:pos="2021" w:val="left" w:leader="none"/>
        </w:tabs>
        <w:spacing w:line="240" w:lineRule="auto" w:before="0" w:after="0"/>
        <w:ind w:left="2020" w:right="417" w:hanging="850"/>
        <w:jc w:val="both"/>
        <w:rPr>
          <w:sz w:val="22"/>
        </w:rPr>
      </w:pPr>
      <w:r>
        <w:rPr>
          <w:sz w:val="22"/>
        </w:rPr>
        <w:t>This limit completely decouples the thermal efficiency of the fuel oil combustion unit from the EGC</w:t>
      </w:r>
      <w:r>
        <w:rPr>
          <w:spacing w:val="-5"/>
          <w:sz w:val="22"/>
        </w:rPr>
        <w:t> </w:t>
      </w:r>
      <w:r>
        <w:rPr>
          <w:sz w:val="22"/>
        </w:rPr>
        <w:t>unit.</w:t>
      </w:r>
    </w:p>
    <w:p>
      <w:pPr>
        <w:pStyle w:val="BodyText"/>
        <w:spacing w:before="1"/>
      </w:pPr>
    </w:p>
    <w:p>
      <w:pPr>
        <w:pStyle w:val="ListParagraph"/>
        <w:numPr>
          <w:ilvl w:val="1"/>
          <w:numId w:val="17"/>
        </w:numPr>
        <w:tabs>
          <w:tab w:pos="2020" w:val="left" w:leader="none"/>
          <w:tab w:pos="2021" w:val="left" w:leader="none"/>
        </w:tabs>
        <w:spacing w:line="240" w:lineRule="auto" w:before="1" w:after="0"/>
        <w:ind w:left="2020" w:right="0" w:hanging="851"/>
        <w:jc w:val="left"/>
        <w:rPr>
          <w:sz w:val="22"/>
        </w:rPr>
      </w:pPr>
      <w:r>
        <w:rPr>
          <w:sz w:val="22"/>
        </w:rPr>
        <w:t>No fuel properties need to be</w:t>
      </w:r>
      <w:r>
        <w:rPr>
          <w:spacing w:val="-8"/>
          <w:sz w:val="22"/>
        </w:rPr>
        <w:t> </w:t>
      </w:r>
      <w:r>
        <w:rPr>
          <w:sz w:val="22"/>
        </w:rPr>
        <w:t>known.</w:t>
      </w:r>
    </w:p>
    <w:p>
      <w:pPr>
        <w:pStyle w:val="BodyText"/>
        <w:spacing w:before="9"/>
        <w:rPr>
          <w:sz w:val="21"/>
        </w:rPr>
      </w:pPr>
    </w:p>
    <w:p>
      <w:pPr>
        <w:pStyle w:val="ListParagraph"/>
        <w:numPr>
          <w:ilvl w:val="1"/>
          <w:numId w:val="17"/>
        </w:numPr>
        <w:tabs>
          <w:tab w:pos="2020" w:val="left" w:leader="none"/>
          <w:tab w:pos="2021" w:val="left" w:leader="none"/>
        </w:tabs>
        <w:spacing w:line="240" w:lineRule="auto" w:before="0" w:after="0"/>
        <w:ind w:left="2020" w:right="414" w:hanging="850"/>
        <w:jc w:val="both"/>
        <w:rPr>
          <w:sz w:val="22"/>
        </w:rPr>
      </w:pPr>
      <w:r>
        <w:rPr>
          <w:sz w:val="22"/>
        </w:rPr>
        <w:t>Because only two measurements are made at a single location, transient engine or EGCS unit effects can be minimized by aligning signals from just these two analysers. (Note that the most appropriate points to align are the points where each analyser responds to a step change in emissions at the sample probe by 50% of the steady-state</w:t>
      </w:r>
      <w:r>
        <w:rPr>
          <w:spacing w:val="-5"/>
          <w:sz w:val="22"/>
        </w:rPr>
        <w:t> </w:t>
      </w:r>
      <w:r>
        <w:rPr>
          <w:sz w:val="22"/>
        </w:rPr>
        <w:t>value.)</w:t>
      </w:r>
    </w:p>
    <w:p>
      <w:pPr>
        <w:pStyle w:val="BodyText"/>
        <w:spacing w:before="2"/>
      </w:pPr>
    </w:p>
    <w:p>
      <w:pPr>
        <w:pStyle w:val="ListParagraph"/>
        <w:numPr>
          <w:ilvl w:val="1"/>
          <w:numId w:val="17"/>
        </w:numPr>
        <w:tabs>
          <w:tab w:pos="2020" w:val="left" w:leader="none"/>
          <w:tab w:pos="2021" w:val="left" w:leader="none"/>
        </w:tabs>
        <w:spacing w:line="240" w:lineRule="auto" w:before="0" w:after="0"/>
        <w:ind w:left="2020" w:right="414" w:hanging="850"/>
        <w:jc w:val="both"/>
        <w:rPr>
          <w:sz w:val="22"/>
        </w:rPr>
      </w:pPr>
      <w:r>
        <w:rPr>
          <w:sz w:val="22"/>
        </w:rPr>
        <w:t>This limit is independent of the amount of exhaust gas dilution. Dilution may occur due to evaporation of water in an EGC unit, and as part of an exhaust sampler's preconditioning system.</w:t>
      </w:r>
    </w:p>
    <w:p>
      <w:pPr>
        <w:spacing w:after="0" w:line="240" w:lineRule="auto"/>
        <w:jc w:val="both"/>
        <w:rPr>
          <w:sz w:val="22"/>
        </w:rPr>
        <w:sectPr>
          <w:pgSz w:w="11910" w:h="16840"/>
          <w:pgMar w:header="856" w:footer="805" w:top="1540" w:bottom="1060" w:left="1100" w:right="1000"/>
        </w:sectPr>
      </w:pPr>
    </w:p>
    <w:p>
      <w:pPr>
        <w:pStyle w:val="BodyText"/>
        <w:spacing w:before="89"/>
        <w:ind w:left="327" w:right="422"/>
        <w:jc w:val="center"/>
      </w:pPr>
      <w:r>
        <w:rPr/>
        <w:t>APPENDIX 3</w:t>
      </w:r>
    </w:p>
    <w:p>
      <w:pPr>
        <w:pStyle w:val="BodyText"/>
        <w:spacing w:before="9"/>
        <w:rPr>
          <w:sz w:val="21"/>
        </w:rPr>
      </w:pPr>
    </w:p>
    <w:p>
      <w:pPr>
        <w:pStyle w:val="Heading1"/>
        <w:ind w:left="327" w:right="426" w:firstLine="0"/>
        <w:jc w:val="center"/>
      </w:pPr>
      <w:r>
        <w:rPr/>
        <w:t>WASHWATER DATA COLLECTION</w:t>
      </w:r>
    </w:p>
    <w:p>
      <w:pPr>
        <w:pStyle w:val="BodyText"/>
        <w:rPr>
          <w:b/>
          <w:sz w:val="24"/>
        </w:rPr>
      </w:pPr>
    </w:p>
    <w:p>
      <w:pPr>
        <w:pStyle w:val="BodyText"/>
        <w:spacing w:before="2"/>
        <w:rPr>
          <w:b/>
          <w:sz w:val="20"/>
        </w:rPr>
      </w:pPr>
    </w:p>
    <w:p>
      <w:pPr>
        <w:pStyle w:val="ListParagraph"/>
        <w:numPr>
          <w:ilvl w:val="0"/>
          <w:numId w:val="18"/>
        </w:numPr>
        <w:tabs>
          <w:tab w:pos="1170" w:val="left" w:leader="none"/>
          <w:tab w:pos="1171" w:val="left" w:leader="none"/>
        </w:tabs>
        <w:spacing w:line="240" w:lineRule="auto" w:before="0" w:after="0"/>
        <w:ind w:left="318" w:right="411" w:firstLine="0"/>
        <w:jc w:val="both"/>
        <w:rPr>
          <w:sz w:val="22"/>
        </w:rPr>
      </w:pPr>
      <w:r>
        <w:rPr>
          <w:sz w:val="22"/>
        </w:rPr>
        <w:t>The washwater discharge criteria are intended to act as initial guidance for implementing EGC system designs. The criteria should be revised in the future as more data becomes available on the contents of the discharge and its effects, taking into account any advice given by</w:t>
      </w:r>
      <w:r>
        <w:rPr>
          <w:spacing w:val="-3"/>
          <w:sz w:val="22"/>
        </w:rPr>
        <w:t> </w:t>
      </w:r>
      <w:r>
        <w:rPr>
          <w:sz w:val="22"/>
        </w:rPr>
        <w:t>GESAMP.</w:t>
      </w:r>
    </w:p>
    <w:p>
      <w:pPr>
        <w:pStyle w:val="BodyText"/>
      </w:pPr>
    </w:p>
    <w:p>
      <w:pPr>
        <w:pStyle w:val="ListParagraph"/>
        <w:numPr>
          <w:ilvl w:val="0"/>
          <w:numId w:val="18"/>
        </w:numPr>
        <w:tabs>
          <w:tab w:pos="1170" w:val="left" w:leader="none"/>
          <w:tab w:pos="1171" w:val="left" w:leader="none"/>
        </w:tabs>
        <w:spacing w:line="240" w:lineRule="auto" w:before="0" w:after="0"/>
        <w:ind w:left="318" w:right="413" w:firstLine="0"/>
        <w:jc w:val="both"/>
        <w:rPr>
          <w:sz w:val="22"/>
        </w:rPr>
      </w:pPr>
      <w:r>
        <w:rPr>
          <w:sz w:val="22"/>
        </w:rPr>
        <w:t>Administrations should therefore provide for collection of relevant data. </w:t>
      </w:r>
      <w:r>
        <w:rPr>
          <w:spacing w:val="2"/>
          <w:sz w:val="22"/>
        </w:rPr>
        <w:t>To </w:t>
      </w:r>
      <w:r>
        <w:rPr>
          <w:sz w:val="22"/>
        </w:rPr>
        <w:t>this end, shipowners in conjunction with the EGC manufacturer are requested to sample and analyse samples of:</w:t>
      </w:r>
    </w:p>
    <w:p>
      <w:pPr>
        <w:pStyle w:val="ListParagraph"/>
        <w:numPr>
          <w:ilvl w:val="1"/>
          <w:numId w:val="18"/>
        </w:numPr>
        <w:tabs>
          <w:tab w:pos="1595" w:val="left" w:leader="none"/>
          <w:tab w:pos="1596" w:val="left" w:leader="none"/>
        </w:tabs>
        <w:spacing w:line="240" w:lineRule="auto" w:before="185" w:after="0"/>
        <w:ind w:left="1595" w:right="0" w:hanging="426"/>
        <w:jc w:val="left"/>
        <w:rPr>
          <w:sz w:val="22"/>
        </w:rPr>
      </w:pPr>
      <w:r>
        <w:rPr>
          <w:sz w:val="22"/>
        </w:rPr>
        <w:t>inlet water (for</w:t>
      </w:r>
      <w:r>
        <w:rPr>
          <w:spacing w:val="1"/>
          <w:sz w:val="22"/>
        </w:rPr>
        <w:t> </w:t>
      </w:r>
      <w:r>
        <w:rPr>
          <w:sz w:val="22"/>
        </w:rPr>
        <w:t>background);</w:t>
      </w:r>
    </w:p>
    <w:p>
      <w:pPr>
        <w:pStyle w:val="ListParagraph"/>
        <w:numPr>
          <w:ilvl w:val="1"/>
          <w:numId w:val="18"/>
        </w:numPr>
        <w:tabs>
          <w:tab w:pos="1595" w:val="left" w:leader="none"/>
          <w:tab w:pos="1596" w:val="left" w:leader="none"/>
        </w:tabs>
        <w:spacing w:line="253" w:lineRule="exact" w:before="1" w:after="0"/>
        <w:ind w:left="1595" w:right="0" w:hanging="426"/>
        <w:jc w:val="left"/>
        <w:rPr>
          <w:sz w:val="22"/>
        </w:rPr>
      </w:pPr>
      <w:r>
        <w:rPr>
          <w:sz w:val="22"/>
        </w:rPr>
        <w:t>water after the scrubber (but before any treatment system);</w:t>
      </w:r>
      <w:r>
        <w:rPr>
          <w:spacing w:val="-5"/>
          <w:sz w:val="22"/>
        </w:rPr>
        <w:t> </w:t>
      </w:r>
      <w:r>
        <w:rPr>
          <w:sz w:val="22"/>
        </w:rPr>
        <w:t>and</w:t>
      </w:r>
    </w:p>
    <w:p>
      <w:pPr>
        <w:pStyle w:val="ListParagraph"/>
        <w:numPr>
          <w:ilvl w:val="1"/>
          <w:numId w:val="18"/>
        </w:numPr>
        <w:tabs>
          <w:tab w:pos="1595" w:val="left" w:leader="none"/>
          <w:tab w:pos="1596" w:val="left" w:leader="none"/>
        </w:tabs>
        <w:spacing w:line="240" w:lineRule="auto" w:before="0" w:after="0"/>
        <w:ind w:left="1595" w:right="0" w:hanging="426"/>
        <w:jc w:val="left"/>
        <w:rPr>
          <w:sz w:val="22"/>
        </w:rPr>
      </w:pPr>
      <w:r>
        <w:rPr>
          <w:sz w:val="22"/>
        </w:rPr>
        <w:t>discharge</w:t>
      </w:r>
      <w:r>
        <w:rPr>
          <w:spacing w:val="-1"/>
          <w:sz w:val="22"/>
        </w:rPr>
        <w:t> </w:t>
      </w:r>
      <w:r>
        <w:rPr>
          <w:sz w:val="22"/>
        </w:rPr>
        <w:t>water.</w:t>
      </w:r>
    </w:p>
    <w:p>
      <w:pPr>
        <w:pStyle w:val="BodyText"/>
      </w:pPr>
    </w:p>
    <w:p>
      <w:pPr>
        <w:pStyle w:val="ListParagraph"/>
        <w:numPr>
          <w:ilvl w:val="0"/>
          <w:numId w:val="18"/>
        </w:numPr>
        <w:tabs>
          <w:tab w:pos="1170" w:val="left" w:leader="none"/>
          <w:tab w:pos="1171" w:val="left" w:leader="none"/>
        </w:tabs>
        <w:spacing w:line="240" w:lineRule="auto" w:before="0" w:after="0"/>
        <w:ind w:left="318" w:right="415" w:firstLine="0"/>
        <w:jc w:val="both"/>
        <w:rPr>
          <w:sz w:val="22"/>
        </w:rPr>
      </w:pPr>
      <w:r>
        <w:rPr>
          <w:sz w:val="22"/>
        </w:rPr>
        <w:t>This sampling could be made during approval testing or shortly after commissioning and at about twelve-month intervals for a period of two years of operation (minimum of three samples). Sampling guidance and analysis should be undertaken by laboratories using EPA or ISO test procedures for the following</w:t>
      </w:r>
      <w:r>
        <w:rPr>
          <w:spacing w:val="-5"/>
          <w:sz w:val="22"/>
        </w:rPr>
        <w:t> </w:t>
      </w:r>
      <w:r>
        <w:rPr>
          <w:sz w:val="22"/>
        </w:rPr>
        <w:t>parameters:</w:t>
      </w:r>
    </w:p>
    <w:p>
      <w:pPr>
        <w:pStyle w:val="ListParagraph"/>
        <w:numPr>
          <w:ilvl w:val="0"/>
          <w:numId w:val="19"/>
        </w:numPr>
        <w:tabs>
          <w:tab w:pos="1171" w:val="left" w:leader="none"/>
        </w:tabs>
        <w:spacing w:line="240" w:lineRule="auto" w:before="183" w:after="0"/>
        <w:ind w:left="1170" w:right="0" w:hanging="133"/>
        <w:jc w:val="left"/>
        <w:rPr>
          <w:sz w:val="22"/>
        </w:rPr>
      </w:pPr>
      <w:r>
        <w:rPr>
          <w:sz w:val="22"/>
        </w:rPr>
        <w:t>pH</w:t>
      </w:r>
    </w:p>
    <w:p>
      <w:pPr>
        <w:pStyle w:val="ListParagraph"/>
        <w:numPr>
          <w:ilvl w:val="0"/>
          <w:numId w:val="19"/>
        </w:numPr>
        <w:tabs>
          <w:tab w:pos="1171" w:val="left" w:leader="none"/>
        </w:tabs>
        <w:spacing w:line="252" w:lineRule="exact" w:before="2" w:after="0"/>
        <w:ind w:left="1170" w:right="0" w:hanging="133"/>
        <w:jc w:val="left"/>
        <w:rPr>
          <w:sz w:val="22"/>
        </w:rPr>
      </w:pPr>
      <w:r>
        <w:rPr>
          <w:sz w:val="22"/>
        </w:rPr>
        <w:t>PAH and oil (detailed GC-MS</w:t>
      </w:r>
      <w:r>
        <w:rPr>
          <w:spacing w:val="-3"/>
          <w:sz w:val="22"/>
        </w:rPr>
        <w:t> </w:t>
      </w:r>
      <w:r>
        <w:rPr>
          <w:sz w:val="22"/>
        </w:rPr>
        <w:t>analysis)</w:t>
      </w:r>
    </w:p>
    <w:p>
      <w:pPr>
        <w:pStyle w:val="ListParagraph"/>
        <w:numPr>
          <w:ilvl w:val="0"/>
          <w:numId w:val="19"/>
        </w:numPr>
        <w:tabs>
          <w:tab w:pos="1171" w:val="left" w:leader="none"/>
        </w:tabs>
        <w:spacing w:line="252" w:lineRule="exact" w:before="0" w:after="0"/>
        <w:ind w:left="1170" w:right="0" w:hanging="133"/>
        <w:jc w:val="left"/>
        <w:rPr>
          <w:sz w:val="22"/>
        </w:rPr>
      </w:pPr>
      <w:r>
        <w:rPr>
          <w:sz w:val="22"/>
        </w:rPr>
        <w:t>Nitrate</w:t>
      </w:r>
    </w:p>
    <w:p>
      <w:pPr>
        <w:pStyle w:val="ListParagraph"/>
        <w:numPr>
          <w:ilvl w:val="0"/>
          <w:numId w:val="19"/>
        </w:numPr>
        <w:tabs>
          <w:tab w:pos="1171" w:val="left" w:leader="none"/>
        </w:tabs>
        <w:spacing w:line="252" w:lineRule="exact" w:before="0" w:after="0"/>
        <w:ind w:left="1170" w:right="0" w:hanging="133"/>
        <w:jc w:val="left"/>
        <w:rPr>
          <w:sz w:val="22"/>
        </w:rPr>
      </w:pPr>
      <w:r>
        <w:rPr>
          <w:sz w:val="22"/>
        </w:rPr>
        <w:t>Nitrite</w:t>
      </w:r>
    </w:p>
    <w:p>
      <w:pPr>
        <w:pStyle w:val="ListParagraph"/>
        <w:numPr>
          <w:ilvl w:val="0"/>
          <w:numId w:val="19"/>
        </w:numPr>
        <w:tabs>
          <w:tab w:pos="1171" w:val="left" w:leader="none"/>
        </w:tabs>
        <w:spacing w:line="252" w:lineRule="exact" w:before="1" w:after="0"/>
        <w:ind w:left="1170" w:right="0" w:hanging="133"/>
        <w:jc w:val="left"/>
        <w:rPr>
          <w:sz w:val="22"/>
        </w:rPr>
      </w:pPr>
      <w:r>
        <w:rPr>
          <w:sz w:val="22"/>
        </w:rPr>
        <w:t>Cd</w:t>
      </w:r>
    </w:p>
    <w:p>
      <w:pPr>
        <w:pStyle w:val="ListParagraph"/>
        <w:numPr>
          <w:ilvl w:val="0"/>
          <w:numId w:val="19"/>
        </w:numPr>
        <w:tabs>
          <w:tab w:pos="1171" w:val="left" w:leader="none"/>
        </w:tabs>
        <w:spacing w:line="252" w:lineRule="exact" w:before="0" w:after="0"/>
        <w:ind w:left="1170" w:right="0" w:hanging="133"/>
        <w:jc w:val="left"/>
        <w:rPr>
          <w:sz w:val="22"/>
        </w:rPr>
      </w:pPr>
      <w:r>
        <w:rPr>
          <w:sz w:val="22"/>
        </w:rPr>
        <w:t>Cu</w:t>
      </w:r>
    </w:p>
    <w:p>
      <w:pPr>
        <w:pStyle w:val="ListParagraph"/>
        <w:numPr>
          <w:ilvl w:val="0"/>
          <w:numId w:val="19"/>
        </w:numPr>
        <w:tabs>
          <w:tab w:pos="1171" w:val="left" w:leader="none"/>
        </w:tabs>
        <w:spacing w:line="252" w:lineRule="exact" w:before="2" w:after="0"/>
        <w:ind w:left="1170" w:right="0" w:hanging="133"/>
        <w:jc w:val="left"/>
        <w:rPr>
          <w:sz w:val="22"/>
        </w:rPr>
      </w:pPr>
      <w:r>
        <w:rPr>
          <w:sz w:val="22"/>
        </w:rPr>
        <w:t>Ni</w:t>
      </w:r>
    </w:p>
    <w:p>
      <w:pPr>
        <w:pStyle w:val="ListParagraph"/>
        <w:numPr>
          <w:ilvl w:val="0"/>
          <w:numId w:val="19"/>
        </w:numPr>
        <w:tabs>
          <w:tab w:pos="1171" w:val="left" w:leader="none"/>
        </w:tabs>
        <w:spacing w:line="252" w:lineRule="exact" w:before="0" w:after="0"/>
        <w:ind w:left="1170" w:right="0" w:hanging="133"/>
        <w:jc w:val="left"/>
        <w:rPr>
          <w:sz w:val="22"/>
        </w:rPr>
      </w:pPr>
      <w:r>
        <w:rPr>
          <w:sz w:val="22"/>
        </w:rPr>
        <w:t>Pb</w:t>
      </w:r>
    </w:p>
    <w:p>
      <w:pPr>
        <w:pStyle w:val="ListParagraph"/>
        <w:numPr>
          <w:ilvl w:val="0"/>
          <w:numId w:val="19"/>
        </w:numPr>
        <w:tabs>
          <w:tab w:pos="1171" w:val="left" w:leader="none"/>
        </w:tabs>
        <w:spacing w:line="253" w:lineRule="exact" w:before="0" w:after="0"/>
        <w:ind w:left="1170" w:right="0" w:hanging="133"/>
        <w:jc w:val="left"/>
        <w:rPr>
          <w:sz w:val="22"/>
        </w:rPr>
      </w:pPr>
      <w:r>
        <w:rPr>
          <w:sz w:val="22"/>
        </w:rPr>
        <w:t>Zn</w:t>
      </w:r>
    </w:p>
    <w:p>
      <w:pPr>
        <w:pStyle w:val="ListParagraph"/>
        <w:numPr>
          <w:ilvl w:val="0"/>
          <w:numId w:val="19"/>
        </w:numPr>
        <w:tabs>
          <w:tab w:pos="1171" w:val="left" w:leader="none"/>
        </w:tabs>
        <w:spacing w:line="252" w:lineRule="exact" w:before="1" w:after="0"/>
        <w:ind w:left="1170" w:right="0" w:hanging="133"/>
        <w:jc w:val="left"/>
        <w:rPr>
          <w:sz w:val="22"/>
        </w:rPr>
      </w:pPr>
      <w:r>
        <w:rPr>
          <w:sz w:val="22"/>
        </w:rPr>
        <w:t>As</w:t>
      </w:r>
    </w:p>
    <w:p>
      <w:pPr>
        <w:pStyle w:val="ListParagraph"/>
        <w:numPr>
          <w:ilvl w:val="0"/>
          <w:numId w:val="19"/>
        </w:numPr>
        <w:tabs>
          <w:tab w:pos="1171" w:val="left" w:leader="none"/>
        </w:tabs>
        <w:spacing w:line="252" w:lineRule="exact" w:before="0" w:after="0"/>
        <w:ind w:left="1170" w:right="0" w:hanging="133"/>
        <w:jc w:val="left"/>
        <w:rPr>
          <w:sz w:val="22"/>
        </w:rPr>
      </w:pPr>
      <w:r>
        <w:rPr>
          <w:sz w:val="22"/>
        </w:rPr>
        <w:t>Cr</w:t>
      </w:r>
    </w:p>
    <w:p>
      <w:pPr>
        <w:pStyle w:val="ListParagraph"/>
        <w:numPr>
          <w:ilvl w:val="0"/>
          <w:numId w:val="19"/>
        </w:numPr>
        <w:tabs>
          <w:tab w:pos="1171" w:val="left" w:leader="none"/>
        </w:tabs>
        <w:spacing w:line="240" w:lineRule="auto" w:before="2" w:after="0"/>
        <w:ind w:left="1170" w:right="0" w:hanging="133"/>
        <w:jc w:val="left"/>
        <w:rPr>
          <w:sz w:val="22"/>
        </w:rPr>
      </w:pPr>
      <w:r>
        <w:rPr>
          <w:w w:val="100"/>
          <w:sz w:val="22"/>
        </w:rPr>
        <w:t>V</w:t>
      </w:r>
    </w:p>
    <w:p>
      <w:pPr>
        <w:pStyle w:val="BodyText"/>
        <w:spacing w:before="9"/>
        <w:rPr>
          <w:sz w:val="21"/>
        </w:rPr>
      </w:pPr>
    </w:p>
    <w:p>
      <w:pPr>
        <w:pStyle w:val="ListParagraph"/>
        <w:numPr>
          <w:ilvl w:val="0"/>
          <w:numId w:val="18"/>
        </w:numPr>
        <w:tabs>
          <w:tab w:pos="1170" w:val="left" w:leader="none"/>
          <w:tab w:pos="1171" w:val="left" w:leader="none"/>
        </w:tabs>
        <w:spacing w:line="240" w:lineRule="auto" w:before="0" w:after="0"/>
        <w:ind w:left="318" w:right="421" w:firstLine="0"/>
        <w:jc w:val="both"/>
        <w:rPr>
          <w:sz w:val="22"/>
        </w:rPr>
      </w:pPr>
      <w:r>
        <w:rPr>
          <w:sz w:val="22"/>
        </w:rPr>
        <w:t>The extent of laboratory testing may be varied or enhanced in the light of developing knowledge.</w:t>
      </w:r>
    </w:p>
    <w:p>
      <w:pPr>
        <w:pStyle w:val="BodyText"/>
        <w:spacing w:before="2"/>
      </w:pPr>
    </w:p>
    <w:p>
      <w:pPr>
        <w:pStyle w:val="ListParagraph"/>
        <w:numPr>
          <w:ilvl w:val="0"/>
          <w:numId w:val="18"/>
        </w:numPr>
        <w:tabs>
          <w:tab w:pos="1170" w:val="left" w:leader="none"/>
          <w:tab w:pos="1171" w:val="left" w:leader="none"/>
        </w:tabs>
        <w:spacing w:line="240" w:lineRule="auto" w:before="0" w:after="0"/>
        <w:ind w:left="318" w:right="412" w:firstLine="0"/>
        <w:jc w:val="both"/>
        <w:rPr>
          <w:sz w:val="22"/>
        </w:rPr>
      </w:pPr>
      <w:r>
        <w:rPr>
          <w:sz w:val="22"/>
        </w:rPr>
        <w:t>When submitting sample data to the Administration, information should also be included on washwater discharge flow rates, dilution of discharge, if applicable, and engine power should be included as well as specifications of the fuel used from the bunker delivery note as a</w:t>
      </w:r>
      <w:r>
        <w:rPr>
          <w:spacing w:val="-5"/>
          <w:sz w:val="22"/>
        </w:rPr>
        <w:t> </w:t>
      </w:r>
      <w:r>
        <w:rPr>
          <w:sz w:val="22"/>
        </w:rPr>
        <w:t>minimum.</w:t>
      </w:r>
    </w:p>
    <w:p>
      <w:pPr>
        <w:pStyle w:val="BodyText"/>
      </w:pPr>
    </w:p>
    <w:p>
      <w:pPr>
        <w:pStyle w:val="ListParagraph"/>
        <w:numPr>
          <w:ilvl w:val="0"/>
          <w:numId w:val="18"/>
        </w:numPr>
        <w:tabs>
          <w:tab w:pos="1170" w:val="left" w:leader="none"/>
          <w:tab w:pos="1171" w:val="left" w:leader="none"/>
        </w:tabs>
        <w:spacing w:line="240" w:lineRule="auto" w:before="0" w:after="0"/>
        <w:ind w:left="318" w:right="414" w:firstLine="0"/>
        <w:jc w:val="both"/>
        <w:rPr>
          <w:sz w:val="22"/>
        </w:rPr>
      </w:pPr>
      <w:r>
        <w:rPr>
          <w:sz w:val="22"/>
        </w:rPr>
        <w:t>It is recommended that the ship that has provided this information to the satisfaction of the Administration should be granted a waiver for compliance of the existing installation(s) to possible future stricter washwater discharge standards. The Administration should forward information submitted on this issue to the Organization for dissemination by the appropriate mechanisms.</w:t>
      </w:r>
    </w:p>
    <w:p>
      <w:pPr>
        <w:pStyle w:val="BodyText"/>
        <w:rPr>
          <w:sz w:val="24"/>
        </w:rPr>
      </w:pPr>
    </w:p>
    <w:p>
      <w:pPr>
        <w:pStyle w:val="BodyText"/>
        <w:spacing w:before="1"/>
        <w:rPr>
          <w:sz w:val="20"/>
        </w:rPr>
      </w:pPr>
    </w:p>
    <w:p>
      <w:pPr>
        <w:pStyle w:val="BodyText"/>
        <w:ind w:left="327" w:right="420"/>
        <w:jc w:val="center"/>
      </w:pPr>
      <w:r>
        <w:rPr/>
        <w:t>***</w:t>
      </w:r>
    </w:p>
    <w:sectPr>
      <w:pgSz w:w="11910" w:h="16840"/>
      <w:pgMar w:header="856" w:footer="865" w:top="1540" w:bottom="1000" w:left="11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3169664" from="69.503998pt,787.895996pt" to="525.933998pt,787.895996pt" stroked="true" strokeweight=".47998pt" strokecolor="#000000">
          <v:stroke dashstyle="solid"/>
          <w10:wrap type="none"/>
        </v:line>
      </w:pict>
    </w:r>
    <w:r>
      <w:rPr/>
      <w:pict>
        <v:shape style="position:absolute;margin-left:69.944pt;margin-top:788.348511pt;width:302.7pt;height:12.1pt;mso-position-horizontal-relative:page;mso-position-vertical-relative:page;z-index:-253168640" type="#_x0000_t202" filled="false" stroked="false">
          <v:textbox inset="0,0,0,0">
            <w:txbxContent>
              <w:p>
                <w:pPr>
                  <w:spacing w:before="14"/>
                  <w:ind w:left="20" w:right="0" w:firstLine="0"/>
                  <w:jc w:val="left"/>
                  <w:rPr>
                    <w:sz w:val="18"/>
                  </w:rPr>
                </w:pPr>
                <w:r>
                  <w:rPr>
                    <w:sz w:val="18"/>
                  </w:rPr>
                  <w:t>https://edocs.imo.org/Final Documents/English/MEPC 68-21-ADD.1 (E).doc</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3167616" from="69.503998pt,784.895996pt" to="525.933998pt,784.895996pt" stroked="true" strokeweight=".47998pt" strokecolor="#000000">
          <v:stroke dashstyle="solid"/>
          <w10:wrap type="none"/>
        </v:line>
      </w:pict>
    </w:r>
    <w:r>
      <w:rPr/>
      <w:pict>
        <v:shape style="position:absolute;margin-left:69.944pt;margin-top:788.348511pt;width:302.7pt;height:12.1pt;mso-position-horizontal-relative:page;mso-position-vertical-relative:page;z-index:-253166592" type="#_x0000_t202" filled="false" stroked="false">
          <v:textbox inset="0,0,0,0">
            <w:txbxContent>
              <w:p>
                <w:pPr>
                  <w:spacing w:before="14"/>
                  <w:ind w:left="20" w:right="0" w:firstLine="0"/>
                  <w:jc w:val="left"/>
                  <w:rPr>
                    <w:sz w:val="18"/>
                  </w:rPr>
                </w:pPr>
                <w:r>
                  <w:rPr>
                    <w:sz w:val="18"/>
                  </w:rPr>
                  <w:t>https://edocs.imo.org/Final Documents/English/MEPC 68-21-ADD.1 (E).doc</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3173760" from="69.503998pt,69.11998pt" to="525.933998pt,69.11998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429.269989pt;margin-top:41.805763pt;width:97.4pt;height:26.95pt;mso-position-horizontal-relative:page;mso-position-vertical-relative:page;z-index:-253172736" type="#_x0000_t202" filled="false" stroked="false">
          <v:textbox inset="0,0,0,0">
            <w:txbxContent>
              <w:p>
                <w:pPr>
                  <w:pStyle w:val="BodyText"/>
                  <w:spacing w:line="252" w:lineRule="exact" w:before="13"/>
                  <w:ind w:left="20"/>
                </w:pPr>
                <w:r>
                  <w:rPr/>
                  <w:t>MEPC</w:t>
                </w:r>
                <w:r>
                  <w:rPr>
                    <w:spacing w:val="-2"/>
                  </w:rPr>
                  <w:t> </w:t>
                </w:r>
                <w:r>
                  <w:rPr/>
                  <w:t>68/21/Add.1</w:t>
                </w:r>
              </w:p>
              <w:p>
                <w:pPr>
                  <w:pStyle w:val="BodyText"/>
                  <w:spacing w:line="252" w:lineRule="exact"/>
                  <w:ind w:left="178"/>
                </w:pPr>
                <w:r>
                  <w:rPr/>
                  <w:t>Annex 1, page</w:t>
                </w:r>
                <w:r>
                  <w:rPr>
                    <w:spacing w:val="1"/>
                  </w:rPr>
                  <w:t> </w:t>
                </w:r>
                <w:r>
                  <w:rPr/>
                  <w:fldChar w:fldCharType="begin"/>
                </w:r>
                <w:r>
                  <w:rPr/>
                  <w:instrText> PAGE </w:instrText>
                </w:r>
                <w:r>
                  <w:rPr/>
                  <w:fldChar w:fldCharType="separate"/>
                </w:r>
                <w:r>
                  <w:rPr/>
                  <w:t>11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3171712" from="69.503998pt,69.11998pt" to="525.933998pt,69.11998pt" stroked="true" strokeweight=".48pt" strokecolor="#000000">
          <v:stroke dashstyle="solid"/>
          <w10:wrap type="none"/>
        </v:line>
      </w:pict>
    </w:r>
    <w:r>
      <w:rPr/>
      <w:pict>
        <v:shape style="position:absolute;margin-left:69.944pt;margin-top:41.805763pt;width:96.35pt;height:26.95pt;mso-position-horizontal-relative:page;mso-position-vertical-relative:page;z-index:-253170688" type="#_x0000_t202" filled="false" stroked="false">
          <v:textbox inset="0,0,0,0">
            <w:txbxContent>
              <w:p>
                <w:pPr>
                  <w:pStyle w:val="BodyText"/>
                  <w:spacing w:line="252" w:lineRule="exact" w:before="13"/>
                  <w:ind w:left="20"/>
                </w:pPr>
                <w:r>
                  <w:rPr/>
                  <w:t>MEPC 68/21/Add.1</w:t>
                </w:r>
              </w:p>
              <w:p>
                <w:pPr>
                  <w:pStyle w:val="BodyText"/>
                  <w:spacing w:line="252" w:lineRule="exact"/>
                  <w:ind w:left="20"/>
                </w:pPr>
                <w:r>
                  <w:rPr/>
                  <w:t>Annex 1, page </w:t>
                </w:r>
                <w:r>
                  <w:rPr/>
                  <w:fldChar w:fldCharType="begin"/>
                </w:r>
                <w:r>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1170" w:hanging="132"/>
      </w:pPr>
      <w:rPr>
        <w:rFonts w:hint="default" w:ascii="Wingdings" w:hAnsi="Wingdings" w:eastAsia="Wingdings" w:cs="Wingdings"/>
        <w:w w:val="100"/>
        <w:sz w:val="22"/>
        <w:szCs w:val="22"/>
        <w:lang w:val="en-US" w:eastAsia="en-US" w:bidi="en-US"/>
      </w:rPr>
    </w:lvl>
    <w:lvl w:ilvl="1">
      <w:start w:val="0"/>
      <w:numFmt w:val="bullet"/>
      <w:lvlText w:val="•"/>
      <w:lvlJc w:val="left"/>
      <w:pPr>
        <w:ind w:left="2042" w:hanging="132"/>
      </w:pPr>
      <w:rPr>
        <w:rFonts w:hint="default"/>
        <w:lang w:val="en-US" w:eastAsia="en-US" w:bidi="en-US"/>
      </w:rPr>
    </w:lvl>
    <w:lvl w:ilvl="2">
      <w:start w:val="0"/>
      <w:numFmt w:val="bullet"/>
      <w:lvlText w:val="•"/>
      <w:lvlJc w:val="left"/>
      <w:pPr>
        <w:ind w:left="2905" w:hanging="132"/>
      </w:pPr>
      <w:rPr>
        <w:rFonts w:hint="default"/>
        <w:lang w:val="en-US" w:eastAsia="en-US" w:bidi="en-US"/>
      </w:rPr>
    </w:lvl>
    <w:lvl w:ilvl="3">
      <w:start w:val="0"/>
      <w:numFmt w:val="bullet"/>
      <w:lvlText w:val="•"/>
      <w:lvlJc w:val="left"/>
      <w:pPr>
        <w:ind w:left="3767" w:hanging="132"/>
      </w:pPr>
      <w:rPr>
        <w:rFonts w:hint="default"/>
        <w:lang w:val="en-US" w:eastAsia="en-US" w:bidi="en-US"/>
      </w:rPr>
    </w:lvl>
    <w:lvl w:ilvl="4">
      <w:start w:val="0"/>
      <w:numFmt w:val="bullet"/>
      <w:lvlText w:val="•"/>
      <w:lvlJc w:val="left"/>
      <w:pPr>
        <w:ind w:left="4630" w:hanging="132"/>
      </w:pPr>
      <w:rPr>
        <w:rFonts w:hint="default"/>
        <w:lang w:val="en-US" w:eastAsia="en-US" w:bidi="en-US"/>
      </w:rPr>
    </w:lvl>
    <w:lvl w:ilvl="5">
      <w:start w:val="0"/>
      <w:numFmt w:val="bullet"/>
      <w:lvlText w:val="•"/>
      <w:lvlJc w:val="left"/>
      <w:pPr>
        <w:ind w:left="5493" w:hanging="132"/>
      </w:pPr>
      <w:rPr>
        <w:rFonts w:hint="default"/>
        <w:lang w:val="en-US" w:eastAsia="en-US" w:bidi="en-US"/>
      </w:rPr>
    </w:lvl>
    <w:lvl w:ilvl="6">
      <w:start w:val="0"/>
      <w:numFmt w:val="bullet"/>
      <w:lvlText w:val="•"/>
      <w:lvlJc w:val="left"/>
      <w:pPr>
        <w:ind w:left="6355" w:hanging="132"/>
      </w:pPr>
      <w:rPr>
        <w:rFonts w:hint="default"/>
        <w:lang w:val="en-US" w:eastAsia="en-US" w:bidi="en-US"/>
      </w:rPr>
    </w:lvl>
    <w:lvl w:ilvl="7">
      <w:start w:val="0"/>
      <w:numFmt w:val="bullet"/>
      <w:lvlText w:val="•"/>
      <w:lvlJc w:val="left"/>
      <w:pPr>
        <w:ind w:left="7218" w:hanging="132"/>
      </w:pPr>
      <w:rPr>
        <w:rFonts w:hint="default"/>
        <w:lang w:val="en-US" w:eastAsia="en-US" w:bidi="en-US"/>
      </w:rPr>
    </w:lvl>
    <w:lvl w:ilvl="8">
      <w:start w:val="0"/>
      <w:numFmt w:val="bullet"/>
      <w:lvlText w:val="•"/>
      <w:lvlJc w:val="left"/>
      <w:pPr>
        <w:ind w:left="8081" w:hanging="132"/>
      </w:pPr>
      <w:rPr>
        <w:rFonts w:hint="default"/>
        <w:lang w:val="en-US" w:eastAsia="en-US" w:bidi="en-US"/>
      </w:rPr>
    </w:lvl>
  </w:abstractNum>
  <w:abstractNum w:abstractNumId="17">
    <w:multiLevelType w:val="hybridMultilevel"/>
    <w:lvl w:ilvl="0">
      <w:start w:val="1"/>
      <w:numFmt w:val="decimal"/>
      <w:lvlText w:val="%1"/>
      <w:lvlJc w:val="left"/>
      <w:pPr>
        <w:ind w:left="318" w:hanging="852"/>
        <w:jc w:val="left"/>
      </w:pPr>
      <w:rPr>
        <w:rFonts w:hint="default" w:ascii="Arial" w:hAnsi="Arial" w:eastAsia="Arial" w:cs="Arial"/>
        <w:w w:val="100"/>
        <w:sz w:val="22"/>
        <w:szCs w:val="22"/>
        <w:lang w:val="en-US" w:eastAsia="en-US" w:bidi="en-US"/>
      </w:rPr>
    </w:lvl>
    <w:lvl w:ilvl="1">
      <w:start w:val="0"/>
      <w:numFmt w:val="bullet"/>
      <w:lvlText w:val="•"/>
      <w:lvlJc w:val="left"/>
      <w:pPr>
        <w:ind w:left="1595" w:hanging="425"/>
      </w:pPr>
      <w:rPr>
        <w:rFonts w:hint="default" w:ascii="Arial" w:hAnsi="Arial" w:eastAsia="Arial" w:cs="Arial"/>
        <w:w w:val="100"/>
        <w:sz w:val="22"/>
        <w:szCs w:val="22"/>
        <w:lang w:val="en-US" w:eastAsia="en-US" w:bidi="en-US"/>
      </w:rPr>
    </w:lvl>
    <w:lvl w:ilvl="2">
      <w:start w:val="0"/>
      <w:numFmt w:val="bullet"/>
      <w:lvlText w:val="•"/>
      <w:lvlJc w:val="left"/>
      <w:pPr>
        <w:ind w:left="2511" w:hanging="425"/>
      </w:pPr>
      <w:rPr>
        <w:rFonts w:hint="default"/>
        <w:lang w:val="en-US" w:eastAsia="en-US" w:bidi="en-US"/>
      </w:rPr>
    </w:lvl>
    <w:lvl w:ilvl="3">
      <w:start w:val="0"/>
      <w:numFmt w:val="bullet"/>
      <w:lvlText w:val="•"/>
      <w:lvlJc w:val="left"/>
      <w:pPr>
        <w:ind w:left="3423" w:hanging="425"/>
      </w:pPr>
      <w:rPr>
        <w:rFonts w:hint="default"/>
        <w:lang w:val="en-US" w:eastAsia="en-US" w:bidi="en-US"/>
      </w:rPr>
    </w:lvl>
    <w:lvl w:ilvl="4">
      <w:start w:val="0"/>
      <w:numFmt w:val="bullet"/>
      <w:lvlText w:val="•"/>
      <w:lvlJc w:val="left"/>
      <w:pPr>
        <w:ind w:left="4335" w:hanging="425"/>
      </w:pPr>
      <w:rPr>
        <w:rFonts w:hint="default"/>
        <w:lang w:val="en-US" w:eastAsia="en-US" w:bidi="en-US"/>
      </w:rPr>
    </w:lvl>
    <w:lvl w:ilvl="5">
      <w:start w:val="0"/>
      <w:numFmt w:val="bullet"/>
      <w:lvlText w:val="•"/>
      <w:lvlJc w:val="left"/>
      <w:pPr>
        <w:ind w:left="5247" w:hanging="425"/>
      </w:pPr>
      <w:rPr>
        <w:rFonts w:hint="default"/>
        <w:lang w:val="en-US" w:eastAsia="en-US" w:bidi="en-US"/>
      </w:rPr>
    </w:lvl>
    <w:lvl w:ilvl="6">
      <w:start w:val="0"/>
      <w:numFmt w:val="bullet"/>
      <w:lvlText w:val="•"/>
      <w:lvlJc w:val="left"/>
      <w:pPr>
        <w:ind w:left="6159" w:hanging="425"/>
      </w:pPr>
      <w:rPr>
        <w:rFonts w:hint="default"/>
        <w:lang w:val="en-US" w:eastAsia="en-US" w:bidi="en-US"/>
      </w:rPr>
    </w:lvl>
    <w:lvl w:ilvl="7">
      <w:start w:val="0"/>
      <w:numFmt w:val="bullet"/>
      <w:lvlText w:val="•"/>
      <w:lvlJc w:val="left"/>
      <w:pPr>
        <w:ind w:left="7070" w:hanging="425"/>
      </w:pPr>
      <w:rPr>
        <w:rFonts w:hint="default"/>
        <w:lang w:val="en-US" w:eastAsia="en-US" w:bidi="en-US"/>
      </w:rPr>
    </w:lvl>
    <w:lvl w:ilvl="8">
      <w:start w:val="0"/>
      <w:numFmt w:val="bullet"/>
      <w:lvlText w:val="•"/>
      <w:lvlJc w:val="left"/>
      <w:pPr>
        <w:ind w:left="7982" w:hanging="425"/>
      </w:pPr>
      <w:rPr>
        <w:rFonts w:hint="default"/>
        <w:lang w:val="en-US" w:eastAsia="en-US" w:bidi="en-US"/>
      </w:rPr>
    </w:lvl>
  </w:abstractNum>
  <w:abstractNum w:abstractNumId="16">
    <w:multiLevelType w:val="hybridMultilevel"/>
    <w:lvl w:ilvl="0">
      <w:start w:val="4"/>
      <w:numFmt w:val="decimal"/>
      <w:lvlText w:val="%1"/>
      <w:lvlJc w:val="left"/>
      <w:pPr>
        <w:ind w:left="318" w:hanging="852"/>
        <w:jc w:val="left"/>
      </w:pPr>
      <w:rPr>
        <w:rFonts w:hint="default" w:ascii="Arial" w:hAnsi="Arial" w:eastAsia="Arial" w:cs="Arial"/>
        <w:w w:val="100"/>
        <w:position w:val="2"/>
        <w:sz w:val="22"/>
        <w:szCs w:val="22"/>
        <w:lang w:val="en-US" w:eastAsia="en-US" w:bidi="en-US"/>
      </w:rPr>
    </w:lvl>
    <w:lvl w:ilvl="1">
      <w:start w:val="1"/>
      <w:numFmt w:val="decimal"/>
      <w:lvlText w:val=".%2"/>
      <w:lvlJc w:val="left"/>
      <w:pPr>
        <w:ind w:left="2020" w:hanging="850"/>
        <w:jc w:val="left"/>
      </w:pPr>
      <w:rPr>
        <w:rFonts w:hint="default" w:ascii="Arial" w:hAnsi="Arial" w:eastAsia="Arial" w:cs="Arial"/>
        <w:spacing w:val="0"/>
        <w:w w:val="100"/>
        <w:sz w:val="22"/>
        <w:szCs w:val="22"/>
        <w:lang w:val="en-US" w:eastAsia="en-US" w:bidi="en-US"/>
      </w:rPr>
    </w:lvl>
    <w:lvl w:ilvl="2">
      <w:start w:val="0"/>
      <w:numFmt w:val="bullet"/>
      <w:lvlText w:val="•"/>
      <w:lvlJc w:val="left"/>
      <w:pPr>
        <w:ind w:left="2885" w:hanging="850"/>
      </w:pPr>
      <w:rPr>
        <w:rFonts w:hint="default"/>
        <w:lang w:val="en-US" w:eastAsia="en-US" w:bidi="en-US"/>
      </w:rPr>
    </w:lvl>
    <w:lvl w:ilvl="3">
      <w:start w:val="0"/>
      <w:numFmt w:val="bullet"/>
      <w:lvlText w:val="•"/>
      <w:lvlJc w:val="left"/>
      <w:pPr>
        <w:ind w:left="3750" w:hanging="850"/>
      </w:pPr>
      <w:rPr>
        <w:rFonts w:hint="default"/>
        <w:lang w:val="en-US" w:eastAsia="en-US" w:bidi="en-US"/>
      </w:rPr>
    </w:lvl>
    <w:lvl w:ilvl="4">
      <w:start w:val="0"/>
      <w:numFmt w:val="bullet"/>
      <w:lvlText w:val="•"/>
      <w:lvlJc w:val="left"/>
      <w:pPr>
        <w:ind w:left="4615" w:hanging="850"/>
      </w:pPr>
      <w:rPr>
        <w:rFonts w:hint="default"/>
        <w:lang w:val="en-US" w:eastAsia="en-US" w:bidi="en-US"/>
      </w:rPr>
    </w:lvl>
    <w:lvl w:ilvl="5">
      <w:start w:val="0"/>
      <w:numFmt w:val="bullet"/>
      <w:lvlText w:val="•"/>
      <w:lvlJc w:val="left"/>
      <w:pPr>
        <w:ind w:left="5480" w:hanging="850"/>
      </w:pPr>
      <w:rPr>
        <w:rFonts w:hint="default"/>
        <w:lang w:val="en-US" w:eastAsia="en-US" w:bidi="en-US"/>
      </w:rPr>
    </w:lvl>
    <w:lvl w:ilvl="6">
      <w:start w:val="0"/>
      <w:numFmt w:val="bullet"/>
      <w:lvlText w:val="•"/>
      <w:lvlJc w:val="left"/>
      <w:pPr>
        <w:ind w:left="6345" w:hanging="850"/>
      </w:pPr>
      <w:rPr>
        <w:rFonts w:hint="default"/>
        <w:lang w:val="en-US" w:eastAsia="en-US" w:bidi="en-US"/>
      </w:rPr>
    </w:lvl>
    <w:lvl w:ilvl="7">
      <w:start w:val="0"/>
      <w:numFmt w:val="bullet"/>
      <w:lvlText w:val="•"/>
      <w:lvlJc w:val="left"/>
      <w:pPr>
        <w:ind w:left="7210" w:hanging="850"/>
      </w:pPr>
      <w:rPr>
        <w:rFonts w:hint="default"/>
        <w:lang w:val="en-US" w:eastAsia="en-US" w:bidi="en-US"/>
      </w:rPr>
    </w:lvl>
    <w:lvl w:ilvl="8">
      <w:start w:val="0"/>
      <w:numFmt w:val="bullet"/>
      <w:lvlText w:val="•"/>
      <w:lvlJc w:val="left"/>
      <w:pPr>
        <w:ind w:left="8076" w:hanging="850"/>
      </w:pPr>
      <w:rPr>
        <w:rFonts w:hint="default"/>
        <w:lang w:val="en-US" w:eastAsia="en-US" w:bidi="en-US"/>
      </w:rPr>
    </w:lvl>
  </w:abstractNum>
  <w:abstractNum w:abstractNumId="15">
    <w:multiLevelType w:val="hybridMultilevel"/>
    <w:lvl w:ilvl="0">
      <w:start w:val="0"/>
      <w:numFmt w:val="bullet"/>
      <w:lvlText w:val="*"/>
      <w:lvlJc w:val="left"/>
      <w:pPr>
        <w:ind w:left="1170" w:hanging="392"/>
      </w:pPr>
      <w:rPr>
        <w:rFonts w:hint="default"/>
        <w:w w:val="99"/>
        <w:position w:val="1"/>
        <w:lang w:val="en-US" w:eastAsia="en-US" w:bidi="en-US"/>
      </w:rPr>
    </w:lvl>
    <w:lvl w:ilvl="1">
      <w:start w:val="0"/>
      <w:numFmt w:val="bullet"/>
      <w:lvlText w:val="•"/>
      <w:lvlJc w:val="left"/>
      <w:pPr>
        <w:ind w:left="2042" w:hanging="392"/>
      </w:pPr>
      <w:rPr>
        <w:rFonts w:hint="default"/>
        <w:lang w:val="en-US" w:eastAsia="en-US" w:bidi="en-US"/>
      </w:rPr>
    </w:lvl>
    <w:lvl w:ilvl="2">
      <w:start w:val="0"/>
      <w:numFmt w:val="bullet"/>
      <w:lvlText w:val="•"/>
      <w:lvlJc w:val="left"/>
      <w:pPr>
        <w:ind w:left="2905" w:hanging="392"/>
      </w:pPr>
      <w:rPr>
        <w:rFonts w:hint="default"/>
        <w:lang w:val="en-US" w:eastAsia="en-US" w:bidi="en-US"/>
      </w:rPr>
    </w:lvl>
    <w:lvl w:ilvl="3">
      <w:start w:val="0"/>
      <w:numFmt w:val="bullet"/>
      <w:lvlText w:val="•"/>
      <w:lvlJc w:val="left"/>
      <w:pPr>
        <w:ind w:left="3767" w:hanging="392"/>
      </w:pPr>
      <w:rPr>
        <w:rFonts w:hint="default"/>
        <w:lang w:val="en-US" w:eastAsia="en-US" w:bidi="en-US"/>
      </w:rPr>
    </w:lvl>
    <w:lvl w:ilvl="4">
      <w:start w:val="0"/>
      <w:numFmt w:val="bullet"/>
      <w:lvlText w:val="•"/>
      <w:lvlJc w:val="left"/>
      <w:pPr>
        <w:ind w:left="4630" w:hanging="392"/>
      </w:pPr>
      <w:rPr>
        <w:rFonts w:hint="default"/>
        <w:lang w:val="en-US" w:eastAsia="en-US" w:bidi="en-US"/>
      </w:rPr>
    </w:lvl>
    <w:lvl w:ilvl="5">
      <w:start w:val="0"/>
      <w:numFmt w:val="bullet"/>
      <w:lvlText w:val="•"/>
      <w:lvlJc w:val="left"/>
      <w:pPr>
        <w:ind w:left="5493" w:hanging="392"/>
      </w:pPr>
      <w:rPr>
        <w:rFonts w:hint="default"/>
        <w:lang w:val="en-US" w:eastAsia="en-US" w:bidi="en-US"/>
      </w:rPr>
    </w:lvl>
    <w:lvl w:ilvl="6">
      <w:start w:val="0"/>
      <w:numFmt w:val="bullet"/>
      <w:lvlText w:val="•"/>
      <w:lvlJc w:val="left"/>
      <w:pPr>
        <w:ind w:left="6355" w:hanging="392"/>
      </w:pPr>
      <w:rPr>
        <w:rFonts w:hint="default"/>
        <w:lang w:val="en-US" w:eastAsia="en-US" w:bidi="en-US"/>
      </w:rPr>
    </w:lvl>
    <w:lvl w:ilvl="7">
      <w:start w:val="0"/>
      <w:numFmt w:val="bullet"/>
      <w:lvlText w:val="•"/>
      <w:lvlJc w:val="left"/>
      <w:pPr>
        <w:ind w:left="7218" w:hanging="392"/>
      </w:pPr>
      <w:rPr>
        <w:rFonts w:hint="default"/>
        <w:lang w:val="en-US" w:eastAsia="en-US" w:bidi="en-US"/>
      </w:rPr>
    </w:lvl>
    <w:lvl w:ilvl="8">
      <w:start w:val="0"/>
      <w:numFmt w:val="bullet"/>
      <w:lvlText w:val="•"/>
      <w:lvlJc w:val="left"/>
      <w:pPr>
        <w:ind w:left="8081" w:hanging="392"/>
      </w:pPr>
      <w:rPr>
        <w:rFonts w:hint="default"/>
        <w:lang w:val="en-US" w:eastAsia="en-US" w:bidi="en-US"/>
      </w:rPr>
    </w:lvl>
  </w:abstractNum>
  <w:abstractNum w:abstractNumId="14">
    <w:multiLevelType w:val="hybridMultilevel"/>
    <w:lvl w:ilvl="0">
      <w:start w:val="1"/>
      <w:numFmt w:val="decimal"/>
      <w:lvlText w:val="%1"/>
      <w:lvlJc w:val="left"/>
      <w:pPr>
        <w:ind w:left="318" w:hanging="852"/>
        <w:jc w:val="left"/>
      </w:pPr>
      <w:rPr>
        <w:rFonts w:hint="default"/>
        <w:w w:val="100"/>
        <w:position w:val="2"/>
        <w:lang w:val="en-US" w:eastAsia="en-US" w:bidi="en-US"/>
      </w:rPr>
    </w:lvl>
    <w:lvl w:ilvl="1">
      <w:start w:val="1"/>
      <w:numFmt w:val="decimal"/>
      <w:lvlText w:val="%1.%2"/>
      <w:lvlJc w:val="left"/>
      <w:pPr>
        <w:ind w:left="318" w:hanging="852"/>
        <w:jc w:val="left"/>
      </w:pPr>
      <w:rPr>
        <w:rFonts w:hint="default" w:ascii="Arial" w:hAnsi="Arial" w:eastAsia="Arial" w:cs="Arial"/>
        <w:w w:val="100"/>
        <w:position w:val="2"/>
        <w:sz w:val="22"/>
        <w:szCs w:val="22"/>
        <w:lang w:val="en-US" w:eastAsia="en-US" w:bidi="en-US"/>
      </w:rPr>
    </w:lvl>
    <w:lvl w:ilvl="2">
      <w:start w:val="0"/>
      <w:numFmt w:val="bullet"/>
      <w:lvlText w:val="•"/>
      <w:lvlJc w:val="left"/>
      <w:pPr>
        <w:ind w:left="2217" w:hanging="852"/>
      </w:pPr>
      <w:rPr>
        <w:rFonts w:hint="default"/>
        <w:lang w:val="en-US" w:eastAsia="en-US" w:bidi="en-US"/>
      </w:rPr>
    </w:lvl>
    <w:lvl w:ilvl="3">
      <w:start w:val="0"/>
      <w:numFmt w:val="bullet"/>
      <w:lvlText w:val="•"/>
      <w:lvlJc w:val="left"/>
      <w:pPr>
        <w:ind w:left="3165" w:hanging="852"/>
      </w:pPr>
      <w:rPr>
        <w:rFonts w:hint="default"/>
        <w:lang w:val="en-US" w:eastAsia="en-US" w:bidi="en-US"/>
      </w:rPr>
    </w:lvl>
    <w:lvl w:ilvl="4">
      <w:start w:val="0"/>
      <w:numFmt w:val="bullet"/>
      <w:lvlText w:val="•"/>
      <w:lvlJc w:val="left"/>
      <w:pPr>
        <w:ind w:left="4114" w:hanging="852"/>
      </w:pPr>
      <w:rPr>
        <w:rFonts w:hint="default"/>
        <w:lang w:val="en-US" w:eastAsia="en-US" w:bidi="en-US"/>
      </w:rPr>
    </w:lvl>
    <w:lvl w:ilvl="5">
      <w:start w:val="0"/>
      <w:numFmt w:val="bullet"/>
      <w:lvlText w:val="•"/>
      <w:lvlJc w:val="left"/>
      <w:pPr>
        <w:ind w:left="5063" w:hanging="852"/>
      </w:pPr>
      <w:rPr>
        <w:rFonts w:hint="default"/>
        <w:lang w:val="en-US" w:eastAsia="en-US" w:bidi="en-US"/>
      </w:rPr>
    </w:lvl>
    <w:lvl w:ilvl="6">
      <w:start w:val="0"/>
      <w:numFmt w:val="bullet"/>
      <w:lvlText w:val="•"/>
      <w:lvlJc w:val="left"/>
      <w:pPr>
        <w:ind w:left="6011" w:hanging="852"/>
      </w:pPr>
      <w:rPr>
        <w:rFonts w:hint="default"/>
        <w:lang w:val="en-US" w:eastAsia="en-US" w:bidi="en-US"/>
      </w:rPr>
    </w:lvl>
    <w:lvl w:ilvl="7">
      <w:start w:val="0"/>
      <w:numFmt w:val="bullet"/>
      <w:lvlText w:val="•"/>
      <w:lvlJc w:val="left"/>
      <w:pPr>
        <w:ind w:left="6960" w:hanging="852"/>
      </w:pPr>
      <w:rPr>
        <w:rFonts w:hint="default"/>
        <w:lang w:val="en-US" w:eastAsia="en-US" w:bidi="en-US"/>
      </w:rPr>
    </w:lvl>
    <w:lvl w:ilvl="8">
      <w:start w:val="0"/>
      <w:numFmt w:val="bullet"/>
      <w:lvlText w:val="•"/>
      <w:lvlJc w:val="left"/>
      <w:pPr>
        <w:ind w:left="7909" w:hanging="852"/>
      </w:pPr>
      <w:rPr>
        <w:rFonts w:hint="default"/>
        <w:lang w:val="en-US" w:eastAsia="en-US" w:bidi="en-US"/>
      </w:rPr>
    </w:lvl>
  </w:abstractNum>
  <w:abstractNum w:abstractNumId="13">
    <w:multiLevelType w:val="hybridMultilevel"/>
    <w:lvl w:ilvl="0">
      <w:start w:val="10"/>
      <w:numFmt w:val="decimal"/>
      <w:lvlText w:val="%1"/>
      <w:lvlJc w:val="left"/>
      <w:pPr>
        <w:ind w:left="1170" w:hanging="852"/>
        <w:jc w:val="left"/>
      </w:pPr>
      <w:rPr>
        <w:rFonts w:hint="default"/>
        <w:lang w:val="en-US" w:eastAsia="en-US" w:bidi="en-US"/>
      </w:rPr>
    </w:lvl>
    <w:lvl w:ilvl="1">
      <w:start w:val="2"/>
      <w:numFmt w:val="decimal"/>
      <w:lvlText w:val="%1.%2"/>
      <w:lvlJc w:val="left"/>
      <w:pPr>
        <w:ind w:left="1170" w:hanging="852"/>
        <w:jc w:val="left"/>
      </w:pPr>
      <w:rPr>
        <w:rFonts w:hint="default" w:ascii="Arial" w:hAnsi="Arial" w:eastAsia="Arial" w:cs="Arial"/>
        <w:b/>
        <w:bCs/>
        <w:spacing w:val="-1"/>
        <w:w w:val="100"/>
        <w:sz w:val="22"/>
        <w:szCs w:val="22"/>
        <w:lang w:val="en-US" w:eastAsia="en-US" w:bidi="en-US"/>
      </w:rPr>
    </w:lvl>
    <w:lvl w:ilvl="2">
      <w:start w:val="1"/>
      <w:numFmt w:val="decimal"/>
      <w:lvlText w:val="%1.%2.%3"/>
      <w:lvlJc w:val="left"/>
      <w:pPr>
        <w:ind w:left="318" w:hanging="852"/>
        <w:jc w:val="left"/>
      </w:pPr>
      <w:rPr>
        <w:rFonts w:hint="default" w:ascii="Arial" w:hAnsi="Arial" w:eastAsia="Arial" w:cs="Arial"/>
        <w:spacing w:val="-1"/>
        <w:w w:val="100"/>
        <w:sz w:val="22"/>
        <w:szCs w:val="22"/>
        <w:lang w:val="en-US" w:eastAsia="en-US" w:bidi="en-US"/>
      </w:rPr>
    </w:lvl>
    <w:lvl w:ilvl="3">
      <w:start w:val="0"/>
      <w:numFmt w:val="bullet"/>
      <w:lvlText w:val="•"/>
      <w:lvlJc w:val="left"/>
      <w:pPr>
        <w:ind w:left="3096" w:hanging="852"/>
      </w:pPr>
      <w:rPr>
        <w:rFonts w:hint="default"/>
        <w:lang w:val="en-US" w:eastAsia="en-US" w:bidi="en-US"/>
      </w:rPr>
    </w:lvl>
    <w:lvl w:ilvl="4">
      <w:start w:val="0"/>
      <w:numFmt w:val="bullet"/>
      <w:lvlText w:val="•"/>
      <w:lvlJc w:val="left"/>
      <w:pPr>
        <w:ind w:left="4055" w:hanging="852"/>
      </w:pPr>
      <w:rPr>
        <w:rFonts w:hint="default"/>
        <w:lang w:val="en-US" w:eastAsia="en-US" w:bidi="en-US"/>
      </w:rPr>
    </w:lvl>
    <w:lvl w:ilvl="5">
      <w:start w:val="0"/>
      <w:numFmt w:val="bullet"/>
      <w:lvlText w:val="•"/>
      <w:lvlJc w:val="left"/>
      <w:pPr>
        <w:ind w:left="5013" w:hanging="852"/>
      </w:pPr>
      <w:rPr>
        <w:rFonts w:hint="default"/>
        <w:lang w:val="en-US" w:eastAsia="en-US" w:bidi="en-US"/>
      </w:rPr>
    </w:lvl>
    <w:lvl w:ilvl="6">
      <w:start w:val="0"/>
      <w:numFmt w:val="bullet"/>
      <w:lvlText w:val="•"/>
      <w:lvlJc w:val="left"/>
      <w:pPr>
        <w:ind w:left="5972" w:hanging="852"/>
      </w:pPr>
      <w:rPr>
        <w:rFonts w:hint="default"/>
        <w:lang w:val="en-US" w:eastAsia="en-US" w:bidi="en-US"/>
      </w:rPr>
    </w:lvl>
    <w:lvl w:ilvl="7">
      <w:start w:val="0"/>
      <w:numFmt w:val="bullet"/>
      <w:lvlText w:val="•"/>
      <w:lvlJc w:val="left"/>
      <w:pPr>
        <w:ind w:left="6930" w:hanging="852"/>
      </w:pPr>
      <w:rPr>
        <w:rFonts w:hint="default"/>
        <w:lang w:val="en-US" w:eastAsia="en-US" w:bidi="en-US"/>
      </w:rPr>
    </w:lvl>
    <w:lvl w:ilvl="8">
      <w:start w:val="0"/>
      <w:numFmt w:val="bullet"/>
      <w:lvlText w:val="•"/>
      <w:lvlJc w:val="left"/>
      <w:pPr>
        <w:ind w:left="7889" w:hanging="852"/>
      </w:pPr>
      <w:rPr>
        <w:rFonts w:hint="default"/>
        <w:lang w:val="en-US" w:eastAsia="en-US" w:bidi="en-US"/>
      </w:rPr>
    </w:lvl>
  </w:abstractNum>
  <w:abstractNum w:abstractNumId="12">
    <w:multiLevelType w:val="hybridMultilevel"/>
    <w:lvl w:ilvl="0">
      <w:start w:val="10"/>
      <w:numFmt w:val="decimal"/>
      <w:lvlText w:val="%1"/>
      <w:lvlJc w:val="left"/>
      <w:pPr>
        <w:ind w:left="318" w:hanging="852"/>
        <w:jc w:val="left"/>
      </w:pPr>
      <w:rPr>
        <w:rFonts w:hint="default"/>
        <w:lang w:val="en-US" w:eastAsia="en-US" w:bidi="en-US"/>
      </w:rPr>
    </w:lvl>
    <w:lvl w:ilvl="1">
      <w:start w:val="1"/>
      <w:numFmt w:val="decimal"/>
      <w:lvlText w:val="%1.%2"/>
      <w:lvlJc w:val="left"/>
      <w:pPr>
        <w:ind w:left="318" w:hanging="852"/>
        <w:jc w:val="left"/>
      </w:pPr>
      <w:rPr>
        <w:rFonts w:hint="default"/>
        <w:lang w:val="en-US" w:eastAsia="en-US" w:bidi="en-US"/>
      </w:rPr>
    </w:lvl>
    <w:lvl w:ilvl="2">
      <w:start w:val="5"/>
      <w:numFmt w:val="decimal"/>
      <w:lvlText w:val="%1.%2.%3"/>
      <w:lvlJc w:val="left"/>
      <w:pPr>
        <w:ind w:left="318" w:hanging="852"/>
        <w:jc w:val="left"/>
      </w:pPr>
      <w:rPr>
        <w:rFonts w:hint="default"/>
        <w:lang w:val="en-US" w:eastAsia="en-US" w:bidi="en-US"/>
      </w:rPr>
    </w:lvl>
    <w:lvl w:ilvl="3">
      <w:start w:val="1"/>
      <w:numFmt w:val="decimal"/>
      <w:lvlText w:val="%1.%2.%3.%4"/>
      <w:lvlJc w:val="left"/>
      <w:pPr>
        <w:ind w:left="318" w:hanging="852"/>
        <w:jc w:val="left"/>
      </w:pPr>
      <w:rPr>
        <w:rFonts w:hint="default" w:ascii="Arial" w:hAnsi="Arial" w:eastAsia="Arial" w:cs="Arial"/>
        <w:spacing w:val="-3"/>
        <w:w w:val="100"/>
        <w:sz w:val="22"/>
        <w:szCs w:val="22"/>
        <w:lang w:val="en-US" w:eastAsia="en-US" w:bidi="en-US"/>
      </w:rPr>
    </w:lvl>
    <w:lvl w:ilvl="4">
      <w:start w:val="0"/>
      <w:numFmt w:val="bullet"/>
      <w:lvlText w:val="•"/>
      <w:lvlJc w:val="left"/>
      <w:pPr>
        <w:ind w:left="4114" w:hanging="852"/>
      </w:pPr>
      <w:rPr>
        <w:rFonts w:hint="default"/>
        <w:lang w:val="en-US" w:eastAsia="en-US" w:bidi="en-US"/>
      </w:rPr>
    </w:lvl>
    <w:lvl w:ilvl="5">
      <w:start w:val="0"/>
      <w:numFmt w:val="bullet"/>
      <w:lvlText w:val="•"/>
      <w:lvlJc w:val="left"/>
      <w:pPr>
        <w:ind w:left="5063" w:hanging="852"/>
      </w:pPr>
      <w:rPr>
        <w:rFonts w:hint="default"/>
        <w:lang w:val="en-US" w:eastAsia="en-US" w:bidi="en-US"/>
      </w:rPr>
    </w:lvl>
    <w:lvl w:ilvl="6">
      <w:start w:val="0"/>
      <w:numFmt w:val="bullet"/>
      <w:lvlText w:val="•"/>
      <w:lvlJc w:val="left"/>
      <w:pPr>
        <w:ind w:left="6011" w:hanging="852"/>
      </w:pPr>
      <w:rPr>
        <w:rFonts w:hint="default"/>
        <w:lang w:val="en-US" w:eastAsia="en-US" w:bidi="en-US"/>
      </w:rPr>
    </w:lvl>
    <w:lvl w:ilvl="7">
      <w:start w:val="0"/>
      <w:numFmt w:val="bullet"/>
      <w:lvlText w:val="•"/>
      <w:lvlJc w:val="left"/>
      <w:pPr>
        <w:ind w:left="6960" w:hanging="852"/>
      </w:pPr>
      <w:rPr>
        <w:rFonts w:hint="default"/>
        <w:lang w:val="en-US" w:eastAsia="en-US" w:bidi="en-US"/>
      </w:rPr>
    </w:lvl>
    <w:lvl w:ilvl="8">
      <w:start w:val="0"/>
      <w:numFmt w:val="bullet"/>
      <w:lvlText w:val="•"/>
      <w:lvlJc w:val="left"/>
      <w:pPr>
        <w:ind w:left="7909" w:hanging="852"/>
      </w:pPr>
      <w:rPr>
        <w:rFonts w:hint="default"/>
        <w:lang w:val="en-US" w:eastAsia="en-US" w:bidi="en-US"/>
      </w:rPr>
    </w:lvl>
  </w:abstractNum>
  <w:abstractNum w:abstractNumId="11">
    <w:multiLevelType w:val="hybridMultilevel"/>
    <w:lvl w:ilvl="0">
      <w:start w:val="10"/>
      <w:numFmt w:val="decimal"/>
      <w:lvlText w:val="%1"/>
      <w:lvlJc w:val="left"/>
      <w:pPr>
        <w:ind w:left="318" w:hanging="852"/>
        <w:jc w:val="left"/>
      </w:pPr>
      <w:rPr>
        <w:rFonts w:hint="default"/>
        <w:lang w:val="en-US" w:eastAsia="en-US" w:bidi="en-US"/>
      </w:rPr>
    </w:lvl>
    <w:lvl w:ilvl="1">
      <w:start w:val="1"/>
      <w:numFmt w:val="decimal"/>
      <w:lvlText w:val="%1.%2"/>
      <w:lvlJc w:val="left"/>
      <w:pPr>
        <w:ind w:left="318" w:hanging="852"/>
        <w:jc w:val="left"/>
      </w:pPr>
      <w:rPr>
        <w:rFonts w:hint="default"/>
        <w:lang w:val="en-US" w:eastAsia="en-US" w:bidi="en-US"/>
      </w:rPr>
    </w:lvl>
    <w:lvl w:ilvl="2">
      <w:start w:val="4"/>
      <w:numFmt w:val="decimal"/>
      <w:lvlText w:val="%1.%2.%3"/>
      <w:lvlJc w:val="left"/>
      <w:pPr>
        <w:ind w:left="318" w:hanging="852"/>
        <w:jc w:val="left"/>
      </w:pPr>
      <w:rPr>
        <w:rFonts w:hint="default"/>
        <w:lang w:val="en-US" w:eastAsia="en-US" w:bidi="en-US"/>
      </w:rPr>
    </w:lvl>
    <w:lvl w:ilvl="3">
      <w:start w:val="1"/>
      <w:numFmt w:val="decimal"/>
      <w:lvlText w:val="%1.%2.%3.%4"/>
      <w:lvlJc w:val="left"/>
      <w:pPr>
        <w:ind w:left="318" w:hanging="852"/>
        <w:jc w:val="left"/>
      </w:pPr>
      <w:rPr>
        <w:rFonts w:hint="default" w:ascii="Arial" w:hAnsi="Arial" w:eastAsia="Arial" w:cs="Arial"/>
        <w:spacing w:val="-3"/>
        <w:w w:val="100"/>
        <w:sz w:val="22"/>
        <w:szCs w:val="22"/>
        <w:lang w:val="en-US" w:eastAsia="en-US" w:bidi="en-US"/>
      </w:rPr>
    </w:lvl>
    <w:lvl w:ilvl="4">
      <w:start w:val="0"/>
      <w:numFmt w:val="bullet"/>
      <w:lvlText w:val="•"/>
      <w:lvlJc w:val="left"/>
      <w:pPr>
        <w:ind w:left="4114" w:hanging="852"/>
      </w:pPr>
      <w:rPr>
        <w:rFonts w:hint="default"/>
        <w:lang w:val="en-US" w:eastAsia="en-US" w:bidi="en-US"/>
      </w:rPr>
    </w:lvl>
    <w:lvl w:ilvl="5">
      <w:start w:val="0"/>
      <w:numFmt w:val="bullet"/>
      <w:lvlText w:val="•"/>
      <w:lvlJc w:val="left"/>
      <w:pPr>
        <w:ind w:left="5063" w:hanging="852"/>
      </w:pPr>
      <w:rPr>
        <w:rFonts w:hint="default"/>
        <w:lang w:val="en-US" w:eastAsia="en-US" w:bidi="en-US"/>
      </w:rPr>
    </w:lvl>
    <w:lvl w:ilvl="6">
      <w:start w:val="0"/>
      <w:numFmt w:val="bullet"/>
      <w:lvlText w:val="•"/>
      <w:lvlJc w:val="left"/>
      <w:pPr>
        <w:ind w:left="6011" w:hanging="852"/>
      </w:pPr>
      <w:rPr>
        <w:rFonts w:hint="default"/>
        <w:lang w:val="en-US" w:eastAsia="en-US" w:bidi="en-US"/>
      </w:rPr>
    </w:lvl>
    <w:lvl w:ilvl="7">
      <w:start w:val="0"/>
      <w:numFmt w:val="bullet"/>
      <w:lvlText w:val="•"/>
      <w:lvlJc w:val="left"/>
      <w:pPr>
        <w:ind w:left="6960" w:hanging="852"/>
      </w:pPr>
      <w:rPr>
        <w:rFonts w:hint="default"/>
        <w:lang w:val="en-US" w:eastAsia="en-US" w:bidi="en-US"/>
      </w:rPr>
    </w:lvl>
    <w:lvl w:ilvl="8">
      <w:start w:val="0"/>
      <w:numFmt w:val="bullet"/>
      <w:lvlText w:val="•"/>
      <w:lvlJc w:val="left"/>
      <w:pPr>
        <w:ind w:left="7909" w:hanging="852"/>
      </w:pPr>
      <w:rPr>
        <w:rFonts w:hint="default"/>
        <w:lang w:val="en-US" w:eastAsia="en-US" w:bidi="en-US"/>
      </w:rPr>
    </w:lvl>
  </w:abstractNum>
  <w:abstractNum w:abstractNumId="10">
    <w:multiLevelType w:val="hybridMultilevel"/>
    <w:lvl w:ilvl="0">
      <w:start w:val="10"/>
      <w:numFmt w:val="decimal"/>
      <w:lvlText w:val="%1"/>
      <w:lvlJc w:val="left"/>
      <w:pPr>
        <w:ind w:left="318" w:hanging="852"/>
        <w:jc w:val="left"/>
      </w:pPr>
      <w:rPr>
        <w:rFonts w:hint="default"/>
        <w:lang w:val="en-US" w:eastAsia="en-US" w:bidi="en-US"/>
      </w:rPr>
    </w:lvl>
    <w:lvl w:ilvl="1">
      <w:start w:val="1"/>
      <w:numFmt w:val="decimal"/>
      <w:lvlText w:val="%1.%2"/>
      <w:lvlJc w:val="left"/>
      <w:pPr>
        <w:ind w:left="318" w:hanging="852"/>
        <w:jc w:val="left"/>
      </w:pPr>
      <w:rPr>
        <w:rFonts w:hint="default"/>
        <w:lang w:val="en-US" w:eastAsia="en-US" w:bidi="en-US"/>
      </w:rPr>
    </w:lvl>
    <w:lvl w:ilvl="2">
      <w:start w:val="3"/>
      <w:numFmt w:val="decimal"/>
      <w:lvlText w:val="%1.%2.%3"/>
      <w:lvlJc w:val="left"/>
      <w:pPr>
        <w:ind w:left="318" w:hanging="852"/>
        <w:jc w:val="left"/>
      </w:pPr>
      <w:rPr>
        <w:rFonts w:hint="default"/>
        <w:lang w:val="en-US" w:eastAsia="en-US" w:bidi="en-US"/>
      </w:rPr>
    </w:lvl>
    <w:lvl w:ilvl="3">
      <w:start w:val="1"/>
      <w:numFmt w:val="decimal"/>
      <w:lvlText w:val="%1.%2.%3.%4"/>
      <w:lvlJc w:val="left"/>
      <w:pPr>
        <w:ind w:left="318" w:hanging="852"/>
        <w:jc w:val="left"/>
      </w:pPr>
      <w:rPr>
        <w:rFonts w:hint="default" w:ascii="Arial" w:hAnsi="Arial" w:eastAsia="Arial" w:cs="Arial"/>
        <w:spacing w:val="-3"/>
        <w:w w:val="100"/>
        <w:sz w:val="22"/>
        <w:szCs w:val="22"/>
        <w:lang w:val="en-US" w:eastAsia="en-US" w:bidi="en-US"/>
      </w:rPr>
    </w:lvl>
    <w:lvl w:ilvl="4">
      <w:start w:val="0"/>
      <w:numFmt w:val="bullet"/>
      <w:lvlText w:val="•"/>
      <w:lvlJc w:val="left"/>
      <w:pPr>
        <w:ind w:left="4114" w:hanging="852"/>
      </w:pPr>
      <w:rPr>
        <w:rFonts w:hint="default"/>
        <w:lang w:val="en-US" w:eastAsia="en-US" w:bidi="en-US"/>
      </w:rPr>
    </w:lvl>
    <w:lvl w:ilvl="5">
      <w:start w:val="0"/>
      <w:numFmt w:val="bullet"/>
      <w:lvlText w:val="•"/>
      <w:lvlJc w:val="left"/>
      <w:pPr>
        <w:ind w:left="5063" w:hanging="852"/>
      </w:pPr>
      <w:rPr>
        <w:rFonts w:hint="default"/>
        <w:lang w:val="en-US" w:eastAsia="en-US" w:bidi="en-US"/>
      </w:rPr>
    </w:lvl>
    <w:lvl w:ilvl="6">
      <w:start w:val="0"/>
      <w:numFmt w:val="bullet"/>
      <w:lvlText w:val="•"/>
      <w:lvlJc w:val="left"/>
      <w:pPr>
        <w:ind w:left="6011" w:hanging="852"/>
      </w:pPr>
      <w:rPr>
        <w:rFonts w:hint="default"/>
        <w:lang w:val="en-US" w:eastAsia="en-US" w:bidi="en-US"/>
      </w:rPr>
    </w:lvl>
    <w:lvl w:ilvl="7">
      <w:start w:val="0"/>
      <w:numFmt w:val="bullet"/>
      <w:lvlText w:val="•"/>
      <w:lvlJc w:val="left"/>
      <w:pPr>
        <w:ind w:left="6960" w:hanging="852"/>
      </w:pPr>
      <w:rPr>
        <w:rFonts w:hint="default"/>
        <w:lang w:val="en-US" w:eastAsia="en-US" w:bidi="en-US"/>
      </w:rPr>
    </w:lvl>
    <w:lvl w:ilvl="8">
      <w:start w:val="0"/>
      <w:numFmt w:val="bullet"/>
      <w:lvlText w:val="•"/>
      <w:lvlJc w:val="left"/>
      <w:pPr>
        <w:ind w:left="7909" w:hanging="852"/>
      </w:pPr>
      <w:rPr>
        <w:rFonts w:hint="default"/>
        <w:lang w:val="en-US" w:eastAsia="en-US" w:bidi="en-US"/>
      </w:rPr>
    </w:lvl>
  </w:abstractNum>
  <w:abstractNum w:abstractNumId="9">
    <w:multiLevelType w:val="hybridMultilevel"/>
    <w:lvl w:ilvl="0">
      <w:start w:val="1"/>
      <w:numFmt w:val="decimal"/>
      <w:lvlText w:val="%1"/>
      <w:lvlJc w:val="left"/>
      <w:pPr>
        <w:ind w:left="885" w:hanging="567"/>
        <w:jc w:val="left"/>
      </w:pPr>
      <w:rPr>
        <w:rFonts w:hint="default" w:ascii="Arial" w:hAnsi="Arial" w:eastAsia="Arial" w:cs="Arial"/>
        <w:w w:val="99"/>
        <w:position w:val="8"/>
        <w:sz w:val="14"/>
        <w:szCs w:val="14"/>
        <w:lang w:val="en-US" w:eastAsia="en-US" w:bidi="en-US"/>
      </w:rPr>
    </w:lvl>
    <w:lvl w:ilvl="1">
      <w:start w:val="0"/>
      <w:numFmt w:val="bullet"/>
      <w:lvlText w:val="•"/>
      <w:lvlJc w:val="left"/>
      <w:pPr>
        <w:ind w:left="1772" w:hanging="567"/>
      </w:pPr>
      <w:rPr>
        <w:rFonts w:hint="default"/>
        <w:lang w:val="en-US" w:eastAsia="en-US" w:bidi="en-US"/>
      </w:rPr>
    </w:lvl>
    <w:lvl w:ilvl="2">
      <w:start w:val="0"/>
      <w:numFmt w:val="bullet"/>
      <w:lvlText w:val="•"/>
      <w:lvlJc w:val="left"/>
      <w:pPr>
        <w:ind w:left="2665" w:hanging="567"/>
      </w:pPr>
      <w:rPr>
        <w:rFonts w:hint="default"/>
        <w:lang w:val="en-US" w:eastAsia="en-US" w:bidi="en-US"/>
      </w:rPr>
    </w:lvl>
    <w:lvl w:ilvl="3">
      <w:start w:val="0"/>
      <w:numFmt w:val="bullet"/>
      <w:lvlText w:val="•"/>
      <w:lvlJc w:val="left"/>
      <w:pPr>
        <w:ind w:left="3557" w:hanging="567"/>
      </w:pPr>
      <w:rPr>
        <w:rFonts w:hint="default"/>
        <w:lang w:val="en-US" w:eastAsia="en-US" w:bidi="en-US"/>
      </w:rPr>
    </w:lvl>
    <w:lvl w:ilvl="4">
      <w:start w:val="0"/>
      <w:numFmt w:val="bullet"/>
      <w:lvlText w:val="•"/>
      <w:lvlJc w:val="left"/>
      <w:pPr>
        <w:ind w:left="4450" w:hanging="567"/>
      </w:pPr>
      <w:rPr>
        <w:rFonts w:hint="default"/>
        <w:lang w:val="en-US" w:eastAsia="en-US" w:bidi="en-US"/>
      </w:rPr>
    </w:lvl>
    <w:lvl w:ilvl="5">
      <w:start w:val="0"/>
      <w:numFmt w:val="bullet"/>
      <w:lvlText w:val="•"/>
      <w:lvlJc w:val="left"/>
      <w:pPr>
        <w:ind w:left="5343" w:hanging="567"/>
      </w:pPr>
      <w:rPr>
        <w:rFonts w:hint="default"/>
        <w:lang w:val="en-US" w:eastAsia="en-US" w:bidi="en-US"/>
      </w:rPr>
    </w:lvl>
    <w:lvl w:ilvl="6">
      <w:start w:val="0"/>
      <w:numFmt w:val="bullet"/>
      <w:lvlText w:val="•"/>
      <w:lvlJc w:val="left"/>
      <w:pPr>
        <w:ind w:left="6235" w:hanging="567"/>
      </w:pPr>
      <w:rPr>
        <w:rFonts w:hint="default"/>
        <w:lang w:val="en-US" w:eastAsia="en-US" w:bidi="en-US"/>
      </w:rPr>
    </w:lvl>
    <w:lvl w:ilvl="7">
      <w:start w:val="0"/>
      <w:numFmt w:val="bullet"/>
      <w:lvlText w:val="•"/>
      <w:lvlJc w:val="left"/>
      <w:pPr>
        <w:ind w:left="7128" w:hanging="567"/>
      </w:pPr>
      <w:rPr>
        <w:rFonts w:hint="default"/>
        <w:lang w:val="en-US" w:eastAsia="en-US" w:bidi="en-US"/>
      </w:rPr>
    </w:lvl>
    <w:lvl w:ilvl="8">
      <w:start w:val="0"/>
      <w:numFmt w:val="bullet"/>
      <w:lvlText w:val="•"/>
      <w:lvlJc w:val="left"/>
      <w:pPr>
        <w:ind w:left="8021" w:hanging="567"/>
      </w:pPr>
      <w:rPr>
        <w:rFonts w:hint="default"/>
        <w:lang w:val="en-US" w:eastAsia="en-US" w:bidi="en-US"/>
      </w:rPr>
    </w:lvl>
  </w:abstractNum>
  <w:abstractNum w:abstractNumId="8">
    <w:multiLevelType w:val="hybridMultilevel"/>
    <w:lvl w:ilvl="0">
      <w:start w:val="10"/>
      <w:numFmt w:val="decimal"/>
      <w:lvlText w:val="%1"/>
      <w:lvlJc w:val="left"/>
      <w:pPr>
        <w:ind w:left="318" w:hanging="852"/>
        <w:jc w:val="left"/>
      </w:pPr>
      <w:rPr>
        <w:rFonts w:hint="default"/>
        <w:lang w:val="en-US" w:eastAsia="en-US" w:bidi="en-US"/>
      </w:rPr>
    </w:lvl>
    <w:lvl w:ilvl="1">
      <w:start w:val="1"/>
      <w:numFmt w:val="decimal"/>
      <w:lvlText w:val="%1.%2"/>
      <w:lvlJc w:val="left"/>
      <w:pPr>
        <w:ind w:left="318" w:hanging="852"/>
        <w:jc w:val="left"/>
      </w:pPr>
      <w:rPr>
        <w:rFonts w:hint="default"/>
        <w:lang w:val="en-US" w:eastAsia="en-US" w:bidi="en-US"/>
      </w:rPr>
    </w:lvl>
    <w:lvl w:ilvl="2">
      <w:start w:val="2"/>
      <w:numFmt w:val="decimal"/>
      <w:lvlText w:val="%1.%2.%3"/>
      <w:lvlJc w:val="left"/>
      <w:pPr>
        <w:ind w:left="318" w:hanging="852"/>
        <w:jc w:val="left"/>
      </w:pPr>
      <w:rPr>
        <w:rFonts w:hint="default"/>
        <w:lang w:val="en-US" w:eastAsia="en-US" w:bidi="en-US"/>
      </w:rPr>
    </w:lvl>
    <w:lvl w:ilvl="3">
      <w:start w:val="1"/>
      <w:numFmt w:val="decimal"/>
      <w:lvlText w:val="%1.%2.%3.%4"/>
      <w:lvlJc w:val="left"/>
      <w:pPr>
        <w:ind w:left="318" w:hanging="852"/>
        <w:jc w:val="left"/>
      </w:pPr>
      <w:rPr>
        <w:rFonts w:hint="default" w:ascii="Arial" w:hAnsi="Arial" w:eastAsia="Arial" w:cs="Arial"/>
        <w:spacing w:val="-3"/>
        <w:w w:val="100"/>
        <w:sz w:val="22"/>
        <w:szCs w:val="22"/>
        <w:lang w:val="en-US" w:eastAsia="en-US" w:bidi="en-US"/>
      </w:rPr>
    </w:lvl>
    <w:lvl w:ilvl="4">
      <w:start w:val="1"/>
      <w:numFmt w:val="decimal"/>
      <w:lvlText w:val=".%5"/>
      <w:lvlJc w:val="left"/>
      <w:pPr>
        <w:ind w:left="1890" w:hanging="708"/>
        <w:jc w:val="left"/>
      </w:pPr>
      <w:rPr>
        <w:rFonts w:hint="default" w:ascii="Arial" w:hAnsi="Arial" w:eastAsia="Arial" w:cs="Arial"/>
        <w:spacing w:val="0"/>
        <w:w w:val="100"/>
        <w:sz w:val="22"/>
        <w:szCs w:val="22"/>
        <w:lang w:val="en-US" w:eastAsia="en-US" w:bidi="en-US"/>
      </w:rPr>
    </w:lvl>
    <w:lvl w:ilvl="5">
      <w:start w:val="1"/>
      <w:numFmt w:val="decimal"/>
      <w:lvlText w:val=".%6"/>
      <w:lvlJc w:val="left"/>
      <w:pPr>
        <w:ind w:left="2870" w:hanging="850"/>
        <w:jc w:val="left"/>
      </w:pPr>
      <w:rPr>
        <w:rFonts w:hint="default" w:ascii="Arial" w:hAnsi="Arial" w:eastAsia="Arial" w:cs="Arial"/>
        <w:spacing w:val="0"/>
        <w:w w:val="100"/>
        <w:sz w:val="22"/>
        <w:szCs w:val="22"/>
        <w:lang w:val="en-US" w:eastAsia="en-US" w:bidi="en-US"/>
      </w:rPr>
    </w:lvl>
    <w:lvl w:ilvl="6">
      <w:start w:val="0"/>
      <w:numFmt w:val="bullet"/>
      <w:lvlText w:val="•"/>
      <w:lvlJc w:val="left"/>
      <w:pPr>
        <w:ind w:left="6343" w:hanging="850"/>
      </w:pPr>
      <w:rPr>
        <w:rFonts w:hint="default"/>
        <w:lang w:val="en-US" w:eastAsia="en-US" w:bidi="en-US"/>
      </w:rPr>
    </w:lvl>
    <w:lvl w:ilvl="7">
      <w:start w:val="0"/>
      <w:numFmt w:val="bullet"/>
      <w:lvlText w:val="•"/>
      <w:lvlJc w:val="left"/>
      <w:pPr>
        <w:ind w:left="7209" w:hanging="850"/>
      </w:pPr>
      <w:rPr>
        <w:rFonts w:hint="default"/>
        <w:lang w:val="en-US" w:eastAsia="en-US" w:bidi="en-US"/>
      </w:rPr>
    </w:lvl>
    <w:lvl w:ilvl="8">
      <w:start w:val="0"/>
      <w:numFmt w:val="bullet"/>
      <w:lvlText w:val="•"/>
      <w:lvlJc w:val="left"/>
      <w:pPr>
        <w:ind w:left="8074" w:hanging="850"/>
      </w:pPr>
      <w:rPr>
        <w:rFonts w:hint="default"/>
        <w:lang w:val="en-US" w:eastAsia="en-US" w:bidi="en-US"/>
      </w:rPr>
    </w:lvl>
  </w:abstractNum>
  <w:abstractNum w:abstractNumId="7">
    <w:multiLevelType w:val="hybridMultilevel"/>
    <w:lvl w:ilvl="0">
      <w:start w:val="9"/>
      <w:numFmt w:val="decimal"/>
      <w:lvlText w:val="%1"/>
      <w:lvlJc w:val="left"/>
      <w:pPr>
        <w:ind w:left="318" w:hanging="840"/>
        <w:jc w:val="left"/>
      </w:pPr>
      <w:rPr>
        <w:rFonts w:hint="default"/>
        <w:lang w:val="en-US" w:eastAsia="en-US" w:bidi="en-US"/>
      </w:rPr>
    </w:lvl>
    <w:lvl w:ilvl="1">
      <w:start w:val="2"/>
      <w:numFmt w:val="decimal"/>
      <w:lvlText w:val="%1.%2"/>
      <w:lvlJc w:val="left"/>
      <w:pPr>
        <w:ind w:left="318" w:hanging="840"/>
        <w:jc w:val="left"/>
      </w:pPr>
      <w:rPr>
        <w:rFonts w:hint="default"/>
        <w:lang w:val="en-US" w:eastAsia="en-US" w:bidi="en-US"/>
      </w:rPr>
    </w:lvl>
    <w:lvl w:ilvl="2">
      <w:start w:val="1"/>
      <w:numFmt w:val="decimal"/>
      <w:lvlText w:val="%1.%2.%3"/>
      <w:lvlJc w:val="left"/>
      <w:pPr>
        <w:ind w:left="318" w:hanging="840"/>
        <w:jc w:val="left"/>
      </w:pPr>
      <w:rPr>
        <w:rFonts w:hint="default"/>
        <w:lang w:val="en-US" w:eastAsia="en-US" w:bidi="en-US"/>
      </w:rPr>
    </w:lvl>
    <w:lvl w:ilvl="3">
      <w:start w:val="1"/>
      <w:numFmt w:val="decimal"/>
      <w:lvlText w:val="%1.%2.%3.%4"/>
      <w:lvlJc w:val="left"/>
      <w:pPr>
        <w:ind w:left="318" w:hanging="840"/>
        <w:jc w:val="left"/>
      </w:pPr>
      <w:rPr>
        <w:rFonts w:hint="default" w:ascii="Arial" w:hAnsi="Arial" w:eastAsia="Arial" w:cs="Arial"/>
        <w:spacing w:val="-3"/>
        <w:w w:val="100"/>
        <w:sz w:val="22"/>
        <w:szCs w:val="22"/>
        <w:lang w:val="en-US" w:eastAsia="en-US" w:bidi="en-US"/>
      </w:rPr>
    </w:lvl>
    <w:lvl w:ilvl="4">
      <w:start w:val="0"/>
      <w:numFmt w:val="bullet"/>
      <w:lvlText w:val="•"/>
      <w:lvlJc w:val="left"/>
      <w:pPr>
        <w:ind w:left="4114" w:hanging="840"/>
      </w:pPr>
      <w:rPr>
        <w:rFonts w:hint="default"/>
        <w:lang w:val="en-US" w:eastAsia="en-US" w:bidi="en-US"/>
      </w:rPr>
    </w:lvl>
    <w:lvl w:ilvl="5">
      <w:start w:val="0"/>
      <w:numFmt w:val="bullet"/>
      <w:lvlText w:val="•"/>
      <w:lvlJc w:val="left"/>
      <w:pPr>
        <w:ind w:left="5063" w:hanging="840"/>
      </w:pPr>
      <w:rPr>
        <w:rFonts w:hint="default"/>
        <w:lang w:val="en-US" w:eastAsia="en-US" w:bidi="en-US"/>
      </w:rPr>
    </w:lvl>
    <w:lvl w:ilvl="6">
      <w:start w:val="0"/>
      <w:numFmt w:val="bullet"/>
      <w:lvlText w:val="•"/>
      <w:lvlJc w:val="left"/>
      <w:pPr>
        <w:ind w:left="6011" w:hanging="840"/>
      </w:pPr>
      <w:rPr>
        <w:rFonts w:hint="default"/>
        <w:lang w:val="en-US" w:eastAsia="en-US" w:bidi="en-US"/>
      </w:rPr>
    </w:lvl>
    <w:lvl w:ilvl="7">
      <w:start w:val="0"/>
      <w:numFmt w:val="bullet"/>
      <w:lvlText w:val="•"/>
      <w:lvlJc w:val="left"/>
      <w:pPr>
        <w:ind w:left="6960" w:hanging="840"/>
      </w:pPr>
      <w:rPr>
        <w:rFonts w:hint="default"/>
        <w:lang w:val="en-US" w:eastAsia="en-US" w:bidi="en-US"/>
      </w:rPr>
    </w:lvl>
    <w:lvl w:ilvl="8">
      <w:start w:val="0"/>
      <w:numFmt w:val="bullet"/>
      <w:lvlText w:val="•"/>
      <w:lvlJc w:val="left"/>
      <w:pPr>
        <w:ind w:left="7909" w:hanging="840"/>
      </w:pPr>
      <w:rPr>
        <w:rFonts w:hint="default"/>
        <w:lang w:val="en-US" w:eastAsia="en-US" w:bidi="en-US"/>
      </w:rPr>
    </w:lvl>
  </w:abstractNum>
  <w:abstractNum w:abstractNumId="6">
    <w:multiLevelType w:val="hybridMultilevel"/>
    <w:lvl w:ilvl="0">
      <w:start w:val="1"/>
      <w:numFmt w:val="decimal"/>
      <w:lvlText w:val=".%1"/>
      <w:lvlJc w:val="left"/>
      <w:pPr>
        <w:ind w:left="2020" w:hanging="850"/>
        <w:jc w:val="left"/>
      </w:pPr>
      <w:rPr>
        <w:rFonts w:hint="default" w:ascii="Arial" w:hAnsi="Arial" w:eastAsia="Arial" w:cs="Arial"/>
        <w:spacing w:val="0"/>
        <w:w w:val="100"/>
        <w:sz w:val="22"/>
        <w:szCs w:val="22"/>
        <w:lang w:val="en-US" w:eastAsia="en-US" w:bidi="en-US"/>
      </w:rPr>
    </w:lvl>
    <w:lvl w:ilvl="1">
      <w:start w:val="0"/>
      <w:numFmt w:val="bullet"/>
      <w:lvlText w:val="•"/>
      <w:lvlJc w:val="left"/>
      <w:pPr>
        <w:ind w:left="2798" w:hanging="850"/>
      </w:pPr>
      <w:rPr>
        <w:rFonts w:hint="default"/>
        <w:lang w:val="en-US" w:eastAsia="en-US" w:bidi="en-US"/>
      </w:rPr>
    </w:lvl>
    <w:lvl w:ilvl="2">
      <w:start w:val="0"/>
      <w:numFmt w:val="bullet"/>
      <w:lvlText w:val="•"/>
      <w:lvlJc w:val="left"/>
      <w:pPr>
        <w:ind w:left="3577" w:hanging="850"/>
      </w:pPr>
      <w:rPr>
        <w:rFonts w:hint="default"/>
        <w:lang w:val="en-US" w:eastAsia="en-US" w:bidi="en-US"/>
      </w:rPr>
    </w:lvl>
    <w:lvl w:ilvl="3">
      <w:start w:val="0"/>
      <w:numFmt w:val="bullet"/>
      <w:lvlText w:val="•"/>
      <w:lvlJc w:val="left"/>
      <w:pPr>
        <w:ind w:left="4355" w:hanging="850"/>
      </w:pPr>
      <w:rPr>
        <w:rFonts w:hint="default"/>
        <w:lang w:val="en-US" w:eastAsia="en-US" w:bidi="en-US"/>
      </w:rPr>
    </w:lvl>
    <w:lvl w:ilvl="4">
      <w:start w:val="0"/>
      <w:numFmt w:val="bullet"/>
      <w:lvlText w:val="•"/>
      <w:lvlJc w:val="left"/>
      <w:pPr>
        <w:ind w:left="5134" w:hanging="850"/>
      </w:pPr>
      <w:rPr>
        <w:rFonts w:hint="default"/>
        <w:lang w:val="en-US" w:eastAsia="en-US" w:bidi="en-US"/>
      </w:rPr>
    </w:lvl>
    <w:lvl w:ilvl="5">
      <w:start w:val="0"/>
      <w:numFmt w:val="bullet"/>
      <w:lvlText w:val="•"/>
      <w:lvlJc w:val="left"/>
      <w:pPr>
        <w:ind w:left="5913" w:hanging="850"/>
      </w:pPr>
      <w:rPr>
        <w:rFonts w:hint="default"/>
        <w:lang w:val="en-US" w:eastAsia="en-US" w:bidi="en-US"/>
      </w:rPr>
    </w:lvl>
    <w:lvl w:ilvl="6">
      <w:start w:val="0"/>
      <w:numFmt w:val="bullet"/>
      <w:lvlText w:val="•"/>
      <w:lvlJc w:val="left"/>
      <w:pPr>
        <w:ind w:left="6691" w:hanging="850"/>
      </w:pPr>
      <w:rPr>
        <w:rFonts w:hint="default"/>
        <w:lang w:val="en-US" w:eastAsia="en-US" w:bidi="en-US"/>
      </w:rPr>
    </w:lvl>
    <w:lvl w:ilvl="7">
      <w:start w:val="0"/>
      <w:numFmt w:val="bullet"/>
      <w:lvlText w:val="•"/>
      <w:lvlJc w:val="left"/>
      <w:pPr>
        <w:ind w:left="7470" w:hanging="850"/>
      </w:pPr>
      <w:rPr>
        <w:rFonts w:hint="default"/>
        <w:lang w:val="en-US" w:eastAsia="en-US" w:bidi="en-US"/>
      </w:rPr>
    </w:lvl>
    <w:lvl w:ilvl="8">
      <w:start w:val="0"/>
      <w:numFmt w:val="bullet"/>
      <w:lvlText w:val="•"/>
      <w:lvlJc w:val="left"/>
      <w:pPr>
        <w:ind w:left="8249" w:hanging="850"/>
      </w:pPr>
      <w:rPr>
        <w:rFonts w:hint="default"/>
        <w:lang w:val="en-US" w:eastAsia="en-US" w:bidi="en-US"/>
      </w:rPr>
    </w:lvl>
  </w:abstractNum>
  <w:abstractNum w:abstractNumId="5">
    <w:multiLevelType w:val="hybridMultilevel"/>
    <w:lvl w:ilvl="0">
      <w:start w:val="1"/>
      <w:numFmt w:val="decimal"/>
      <w:lvlText w:val=".%1"/>
      <w:lvlJc w:val="left"/>
      <w:pPr>
        <w:ind w:left="1890" w:hanging="720"/>
        <w:jc w:val="left"/>
      </w:pPr>
      <w:rPr>
        <w:rFonts w:hint="default" w:ascii="Arial" w:hAnsi="Arial" w:eastAsia="Arial" w:cs="Arial"/>
        <w:spacing w:val="0"/>
        <w:w w:val="100"/>
        <w:sz w:val="22"/>
        <w:szCs w:val="22"/>
        <w:lang w:val="en-US" w:eastAsia="en-US" w:bidi="en-US"/>
      </w:rPr>
    </w:lvl>
    <w:lvl w:ilvl="1">
      <w:start w:val="1"/>
      <w:numFmt w:val="decimal"/>
      <w:lvlText w:val=".%2"/>
      <w:lvlJc w:val="left"/>
      <w:pPr>
        <w:ind w:left="2610" w:hanging="720"/>
        <w:jc w:val="left"/>
      </w:pPr>
      <w:rPr>
        <w:rFonts w:hint="default" w:ascii="Arial" w:hAnsi="Arial" w:eastAsia="Arial" w:cs="Arial"/>
        <w:spacing w:val="0"/>
        <w:w w:val="100"/>
        <w:sz w:val="22"/>
        <w:szCs w:val="22"/>
        <w:lang w:val="en-US" w:eastAsia="en-US" w:bidi="en-US"/>
      </w:rPr>
    </w:lvl>
    <w:lvl w:ilvl="2">
      <w:start w:val="0"/>
      <w:numFmt w:val="bullet"/>
      <w:lvlText w:val="•"/>
      <w:lvlJc w:val="left"/>
      <w:pPr>
        <w:ind w:left="3418" w:hanging="720"/>
      </w:pPr>
      <w:rPr>
        <w:rFonts w:hint="default"/>
        <w:lang w:val="en-US" w:eastAsia="en-US" w:bidi="en-US"/>
      </w:rPr>
    </w:lvl>
    <w:lvl w:ilvl="3">
      <w:start w:val="0"/>
      <w:numFmt w:val="bullet"/>
      <w:lvlText w:val="•"/>
      <w:lvlJc w:val="left"/>
      <w:pPr>
        <w:ind w:left="4216" w:hanging="720"/>
      </w:pPr>
      <w:rPr>
        <w:rFonts w:hint="default"/>
        <w:lang w:val="en-US" w:eastAsia="en-US" w:bidi="en-US"/>
      </w:rPr>
    </w:lvl>
    <w:lvl w:ilvl="4">
      <w:start w:val="0"/>
      <w:numFmt w:val="bullet"/>
      <w:lvlText w:val="•"/>
      <w:lvlJc w:val="left"/>
      <w:pPr>
        <w:ind w:left="5015" w:hanging="720"/>
      </w:pPr>
      <w:rPr>
        <w:rFonts w:hint="default"/>
        <w:lang w:val="en-US" w:eastAsia="en-US" w:bidi="en-US"/>
      </w:rPr>
    </w:lvl>
    <w:lvl w:ilvl="5">
      <w:start w:val="0"/>
      <w:numFmt w:val="bullet"/>
      <w:lvlText w:val="•"/>
      <w:lvlJc w:val="left"/>
      <w:pPr>
        <w:ind w:left="5813" w:hanging="720"/>
      </w:pPr>
      <w:rPr>
        <w:rFonts w:hint="default"/>
        <w:lang w:val="en-US" w:eastAsia="en-US" w:bidi="en-US"/>
      </w:rPr>
    </w:lvl>
    <w:lvl w:ilvl="6">
      <w:start w:val="0"/>
      <w:numFmt w:val="bullet"/>
      <w:lvlText w:val="•"/>
      <w:lvlJc w:val="left"/>
      <w:pPr>
        <w:ind w:left="6612" w:hanging="720"/>
      </w:pPr>
      <w:rPr>
        <w:rFonts w:hint="default"/>
        <w:lang w:val="en-US" w:eastAsia="en-US" w:bidi="en-US"/>
      </w:rPr>
    </w:lvl>
    <w:lvl w:ilvl="7">
      <w:start w:val="0"/>
      <w:numFmt w:val="bullet"/>
      <w:lvlText w:val="•"/>
      <w:lvlJc w:val="left"/>
      <w:pPr>
        <w:ind w:left="7410" w:hanging="720"/>
      </w:pPr>
      <w:rPr>
        <w:rFonts w:hint="default"/>
        <w:lang w:val="en-US" w:eastAsia="en-US" w:bidi="en-US"/>
      </w:rPr>
    </w:lvl>
    <w:lvl w:ilvl="8">
      <w:start w:val="0"/>
      <w:numFmt w:val="bullet"/>
      <w:lvlText w:val="•"/>
      <w:lvlJc w:val="left"/>
      <w:pPr>
        <w:ind w:left="8209" w:hanging="720"/>
      </w:pPr>
      <w:rPr>
        <w:rFonts w:hint="default"/>
        <w:lang w:val="en-US" w:eastAsia="en-US" w:bidi="en-US"/>
      </w:rPr>
    </w:lvl>
  </w:abstractNum>
  <w:abstractNum w:abstractNumId="4">
    <w:multiLevelType w:val="hybridMultilevel"/>
    <w:lvl w:ilvl="0">
      <w:start w:val="4"/>
      <w:numFmt w:val="decimal"/>
      <w:lvlText w:val="%1"/>
      <w:lvlJc w:val="left"/>
      <w:pPr>
        <w:ind w:left="1170" w:hanging="852"/>
        <w:jc w:val="left"/>
      </w:pPr>
      <w:rPr>
        <w:rFonts w:hint="default"/>
        <w:lang w:val="en-US" w:eastAsia="en-US" w:bidi="en-US"/>
      </w:rPr>
    </w:lvl>
    <w:lvl w:ilvl="1">
      <w:start w:val="2"/>
      <w:numFmt w:val="decimal"/>
      <w:lvlText w:val="%1.%2"/>
      <w:lvlJc w:val="left"/>
      <w:pPr>
        <w:ind w:left="1170" w:hanging="852"/>
        <w:jc w:val="left"/>
      </w:pPr>
      <w:rPr>
        <w:rFonts w:hint="default" w:ascii="Arial" w:hAnsi="Arial" w:eastAsia="Arial" w:cs="Arial"/>
        <w:b/>
        <w:bCs/>
        <w:w w:val="100"/>
        <w:sz w:val="22"/>
        <w:szCs w:val="22"/>
        <w:lang w:val="en-US" w:eastAsia="en-US" w:bidi="en-US"/>
      </w:rPr>
    </w:lvl>
    <w:lvl w:ilvl="2">
      <w:start w:val="1"/>
      <w:numFmt w:val="decimal"/>
      <w:lvlText w:val="%1.%2.%3"/>
      <w:lvlJc w:val="left"/>
      <w:pPr>
        <w:ind w:left="318" w:hanging="852"/>
        <w:jc w:val="left"/>
      </w:pPr>
      <w:rPr>
        <w:rFonts w:hint="default"/>
        <w:w w:val="100"/>
        <w:lang w:val="en-US" w:eastAsia="en-US" w:bidi="en-US"/>
      </w:rPr>
    </w:lvl>
    <w:lvl w:ilvl="3">
      <w:start w:val="1"/>
      <w:numFmt w:val="decimal"/>
      <w:lvlText w:val="%1.%2.%3.%4"/>
      <w:lvlJc w:val="left"/>
      <w:pPr>
        <w:ind w:left="318" w:hanging="852"/>
        <w:jc w:val="left"/>
      </w:pPr>
      <w:rPr>
        <w:rFonts w:hint="default" w:ascii="Arial" w:hAnsi="Arial" w:eastAsia="Arial" w:cs="Arial"/>
        <w:spacing w:val="-3"/>
        <w:w w:val="100"/>
        <w:sz w:val="22"/>
        <w:szCs w:val="22"/>
        <w:lang w:val="en-US" w:eastAsia="en-US" w:bidi="en-US"/>
      </w:rPr>
    </w:lvl>
    <w:lvl w:ilvl="4">
      <w:start w:val="1"/>
      <w:numFmt w:val="decimal"/>
      <w:lvlText w:val=".%5"/>
      <w:lvlJc w:val="left"/>
      <w:pPr>
        <w:ind w:left="2020" w:hanging="852"/>
        <w:jc w:val="left"/>
      </w:pPr>
      <w:rPr>
        <w:rFonts w:hint="default" w:ascii="Arial" w:hAnsi="Arial" w:eastAsia="Arial" w:cs="Arial"/>
        <w:spacing w:val="0"/>
        <w:w w:val="100"/>
        <w:sz w:val="22"/>
        <w:szCs w:val="22"/>
        <w:lang w:val="en-US" w:eastAsia="en-US" w:bidi="en-US"/>
      </w:rPr>
    </w:lvl>
    <w:lvl w:ilvl="5">
      <w:start w:val="1"/>
      <w:numFmt w:val="decimal"/>
      <w:lvlText w:val=".%6"/>
      <w:lvlJc w:val="left"/>
      <w:pPr>
        <w:ind w:left="2870" w:hanging="852"/>
        <w:jc w:val="left"/>
      </w:pPr>
      <w:rPr>
        <w:rFonts w:hint="default" w:ascii="Arial" w:hAnsi="Arial" w:eastAsia="Arial" w:cs="Arial"/>
        <w:spacing w:val="0"/>
        <w:w w:val="100"/>
        <w:sz w:val="22"/>
        <w:szCs w:val="22"/>
        <w:lang w:val="en-US" w:eastAsia="en-US" w:bidi="en-US"/>
      </w:rPr>
    </w:lvl>
    <w:lvl w:ilvl="6">
      <w:start w:val="0"/>
      <w:numFmt w:val="bullet"/>
      <w:lvlText w:val="•"/>
      <w:lvlJc w:val="left"/>
      <w:pPr>
        <w:ind w:left="5848" w:hanging="852"/>
      </w:pPr>
      <w:rPr>
        <w:rFonts w:hint="default"/>
        <w:lang w:val="en-US" w:eastAsia="en-US" w:bidi="en-US"/>
      </w:rPr>
    </w:lvl>
    <w:lvl w:ilvl="7">
      <w:start w:val="0"/>
      <w:numFmt w:val="bullet"/>
      <w:lvlText w:val="•"/>
      <w:lvlJc w:val="left"/>
      <w:pPr>
        <w:ind w:left="6837" w:hanging="852"/>
      </w:pPr>
      <w:rPr>
        <w:rFonts w:hint="default"/>
        <w:lang w:val="en-US" w:eastAsia="en-US" w:bidi="en-US"/>
      </w:rPr>
    </w:lvl>
    <w:lvl w:ilvl="8">
      <w:start w:val="0"/>
      <w:numFmt w:val="bullet"/>
      <w:lvlText w:val="•"/>
      <w:lvlJc w:val="left"/>
      <w:pPr>
        <w:ind w:left="7827" w:hanging="852"/>
      </w:pPr>
      <w:rPr>
        <w:rFonts w:hint="default"/>
        <w:lang w:val="en-US" w:eastAsia="en-US" w:bidi="en-US"/>
      </w:rPr>
    </w:lvl>
  </w:abstractNum>
  <w:abstractNum w:abstractNumId="3">
    <w:multiLevelType w:val="hybridMultilevel"/>
    <w:lvl w:ilvl="0">
      <w:start w:val="4"/>
      <w:numFmt w:val="decimal"/>
      <w:lvlText w:val="%1"/>
      <w:lvlJc w:val="left"/>
      <w:pPr>
        <w:ind w:left="318" w:hanging="840"/>
        <w:jc w:val="left"/>
      </w:pPr>
      <w:rPr>
        <w:rFonts w:hint="default"/>
        <w:lang w:val="en-US" w:eastAsia="en-US" w:bidi="en-US"/>
      </w:rPr>
    </w:lvl>
    <w:lvl w:ilvl="1">
      <w:start w:val="1"/>
      <w:numFmt w:val="decimal"/>
      <w:lvlText w:val="%1.%2"/>
      <w:lvlJc w:val="left"/>
      <w:pPr>
        <w:ind w:left="318" w:hanging="840"/>
        <w:jc w:val="left"/>
      </w:pPr>
      <w:rPr>
        <w:rFonts w:hint="default"/>
        <w:lang w:val="en-US" w:eastAsia="en-US" w:bidi="en-US"/>
      </w:rPr>
    </w:lvl>
    <w:lvl w:ilvl="2">
      <w:start w:val="4"/>
      <w:numFmt w:val="decimal"/>
      <w:lvlText w:val="%1.%2.%3"/>
      <w:lvlJc w:val="left"/>
      <w:pPr>
        <w:ind w:left="318" w:hanging="840"/>
        <w:jc w:val="left"/>
      </w:pPr>
      <w:rPr>
        <w:rFonts w:hint="default"/>
        <w:lang w:val="en-US" w:eastAsia="en-US" w:bidi="en-US"/>
      </w:rPr>
    </w:lvl>
    <w:lvl w:ilvl="3">
      <w:start w:val="1"/>
      <w:numFmt w:val="decimal"/>
      <w:lvlText w:val="%1.%2.%3.%4"/>
      <w:lvlJc w:val="left"/>
      <w:pPr>
        <w:ind w:left="318" w:hanging="840"/>
        <w:jc w:val="left"/>
      </w:pPr>
      <w:rPr>
        <w:rFonts w:hint="default" w:ascii="Arial" w:hAnsi="Arial" w:eastAsia="Arial" w:cs="Arial"/>
        <w:spacing w:val="-29"/>
        <w:w w:val="99"/>
        <w:sz w:val="24"/>
        <w:szCs w:val="24"/>
        <w:lang w:val="en-US" w:eastAsia="en-US" w:bidi="en-US"/>
      </w:rPr>
    </w:lvl>
    <w:lvl w:ilvl="4">
      <w:start w:val="0"/>
      <w:numFmt w:val="bullet"/>
      <w:lvlText w:val="•"/>
      <w:lvlJc w:val="left"/>
      <w:pPr>
        <w:ind w:left="4114" w:hanging="840"/>
      </w:pPr>
      <w:rPr>
        <w:rFonts w:hint="default"/>
        <w:lang w:val="en-US" w:eastAsia="en-US" w:bidi="en-US"/>
      </w:rPr>
    </w:lvl>
    <w:lvl w:ilvl="5">
      <w:start w:val="0"/>
      <w:numFmt w:val="bullet"/>
      <w:lvlText w:val="•"/>
      <w:lvlJc w:val="left"/>
      <w:pPr>
        <w:ind w:left="5063" w:hanging="840"/>
      </w:pPr>
      <w:rPr>
        <w:rFonts w:hint="default"/>
        <w:lang w:val="en-US" w:eastAsia="en-US" w:bidi="en-US"/>
      </w:rPr>
    </w:lvl>
    <w:lvl w:ilvl="6">
      <w:start w:val="0"/>
      <w:numFmt w:val="bullet"/>
      <w:lvlText w:val="•"/>
      <w:lvlJc w:val="left"/>
      <w:pPr>
        <w:ind w:left="6011" w:hanging="840"/>
      </w:pPr>
      <w:rPr>
        <w:rFonts w:hint="default"/>
        <w:lang w:val="en-US" w:eastAsia="en-US" w:bidi="en-US"/>
      </w:rPr>
    </w:lvl>
    <w:lvl w:ilvl="7">
      <w:start w:val="0"/>
      <w:numFmt w:val="bullet"/>
      <w:lvlText w:val="•"/>
      <w:lvlJc w:val="left"/>
      <w:pPr>
        <w:ind w:left="6960" w:hanging="840"/>
      </w:pPr>
      <w:rPr>
        <w:rFonts w:hint="default"/>
        <w:lang w:val="en-US" w:eastAsia="en-US" w:bidi="en-US"/>
      </w:rPr>
    </w:lvl>
    <w:lvl w:ilvl="8">
      <w:start w:val="0"/>
      <w:numFmt w:val="bullet"/>
      <w:lvlText w:val="•"/>
      <w:lvlJc w:val="left"/>
      <w:pPr>
        <w:ind w:left="7909" w:hanging="840"/>
      </w:pPr>
      <w:rPr>
        <w:rFonts w:hint="default"/>
        <w:lang w:val="en-US" w:eastAsia="en-US" w:bidi="en-US"/>
      </w:rPr>
    </w:lvl>
  </w:abstractNum>
  <w:abstractNum w:abstractNumId="2">
    <w:multiLevelType w:val="hybridMultilevel"/>
    <w:lvl w:ilvl="0">
      <w:start w:val="4"/>
      <w:numFmt w:val="decimal"/>
      <w:lvlText w:val="%1"/>
      <w:lvlJc w:val="left"/>
      <w:pPr>
        <w:ind w:left="318" w:hanging="840"/>
        <w:jc w:val="left"/>
      </w:pPr>
      <w:rPr>
        <w:rFonts w:hint="default"/>
        <w:lang w:val="en-US" w:eastAsia="en-US" w:bidi="en-US"/>
      </w:rPr>
    </w:lvl>
    <w:lvl w:ilvl="1">
      <w:start w:val="1"/>
      <w:numFmt w:val="decimal"/>
      <w:lvlText w:val="%1.%2"/>
      <w:lvlJc w:val="left"/>
      <w:pPr>
        <w:ind w:left="318" w:hanging="840"/>
        <w:jc w:val="left"/>
      </w:pPr>
      <w:rPr>
        <w:rFonts w:hint="default"/>
        <w:lang w:val="en-US" w:eastAsia="en-US" w:bidi="en-US"/>
      </w:rPr>
    </w:lvl>
    <w:lvl w:ilvl="2">
      <w:start w:val="2"/>
      <w:numFmt w:val="decimal"/>
      <w:lvlText w:val="%1.%2.%3"/>
      <w:lvlJc w:val="left"/>
      <w:pPr>
        <w:ind w:left="318" w:hanging="840"/>
        <w:jc w:val="left"/>
      </w:pPr>
      <w:rPr>
        <w:rFonts w:hint="default"/>
        <w:lang w:val="en-US" w:eastAsia="en-US" w:bidi="en-US"/>
      </w:rPr>
    </w:lvl>
    <w:lvl w:ilvl="3">
      <w:start w:val="1"/>
      <w:numFmt w:val="decimal"/>
      <w:lvlText w:val="%1.%2.%3.%4"/>
      <w:lvlJc w:val="left"/>
      <w:pPr>
        <w:ind w:left="318" w:hanging="840"/>
        <w:jc w:val="left"/>
      </w:pPr>
      <w:rPr>
        <w:rFonts w:hint="default"/>
        <w:spacing w:val="-29"/>
        <w:w w:val="99"/>
        <w:lang w:val="en-US" w:eastAsia="en-US" w:bidi="en-US"/>
      </w:rPr>
    </w:lvl>
    <w:lvl w:ilvl="4">
      <w:start w:val="0"/>
      <w:numFmt w:val="bullet"/>
      <w:lvlText w:val="•"/>
      <w:lvlJc w:val="left"/>
      <w:pPr>
        <w:ind w:left="4114" w:hanging="840"/>
      </w:pPr>
      <w:rPr>
        <w:rFonts w:hint="default"/>
        <w:lang w:val="en-US" w:eastAsia="en-US" w:bidi="en-US"/>
      </w:rPr>
    </w:lvl>
    <w:lvl w:ilvl="5">
      <w:start w:val="0"/>
      <w:numFmt w:val="bullet"/>
      <w:lvlText w:val="•"/>
      <w:lvlJc w:val="left"/>
      <w:pPr>
        <w:ind w:left="5063" w:hanging="840"/>
      </w:pPr>
      <w:rPr>
        <w:rFonts w:hint="default"/>
        <w:lang w:val="en-US" w:eastAsia="en-US" w:bidi="en-US"/>
      </w:rPr>
    </w:lvl>
    <w:lvl w:ilvl="6">
      <w:start w:val="0"/>
      <w:numFmt w:val="bullet"/>
      <w:lvlText w:val="•"/>
      <w:lvlJc w:val="left"/>
      <w:pPr>
        <w:ind w:left="6011" w:hanging="840"/>
      </w:pPr>
      <w:rPr>
        <w:rFonts w:hint="default"/>
        <w:lang w:val="en-US" w:eastAsia="en-US" w:bidi="en-US"/>
      </w:rPr>
    </w:lvl>
    <w:lvl w:ilvl="7">
      <w:start w:val="0"/>
      <w:numFmt w:val="bullet"/>
      <w:lvlText w:val="•"/>
      <w:lvlJc w:val="left"/>
      <w:pPr>
        <w:ind w:left="6960" w:hanging="840"/>
      </w:pPr>
      <w:rPr>
        <w:rFonts w:hint="default"/>
        <w:lang w:val="en-US" w:eastAsia="en-US" w:bidi="en-US"/>
      </w:rPr>
    </w:lvl>
    <w:lvl w:ilvl="8">
      <w:start w:val="0"/>
      <w:numFmt w:val="bullet"/>
      <w:lvlText w:val="•"/>
      <w:lvlJc w:val="left"/>
      <w:pPr>
        <w:ind w:left="7909" w:hanging="840"/>
      </w:pPr>
      <w:rPr>
        <w:rFonts w:hint="default"/>
        <w:lang w:val="en-US" w:eastAsia="en-US" w:bidi="en-US"/>
      </w:rPr>
    </w:lvl>
  </w:abstractNum>
  <w:abstractNum w:abstractNumId="1">
    <w:multiLevelType w:val="hybridMultilevel"/>
    <w:lvl w:ilvl="0">
      <w:start w:val="1"/>
      <w:numFmt w:val="decimal"/>
      <w:lvlText w:val="%1"/>
      <w:lvlJc w:val="left"/>
      <w:pPr>
        <w:ind w:left="1170" w:hanging="852"/>
        <w:jc w:val="left"/>
      </w:pPr>
      <w:rPr>
        <w:rFonts w:hint="default" w:ascii="Arial" w:hAnsi="Arial" w:eastAsia="Arial" w:cs="Arial"/>
        <w:b/>
        <w:bCs/>
        <w:w w:val="100"/>
        <w:sz w:val="22"/>
        <w:szCs w:val="22"/>
        <w:lang w:val="en-US" w:eastAsia="en-US" w:bidi="en-US"/>
      </w:rPr>
    </w:lvl>
    <w:lvl w:ilvl="1">
      <w:start w:val="1"/>
      <w:numFmt w:val="decimal"/>
      <w:lvlText w:val="%1.%2"/>
      <w:lvlJc w:val="left"/>
      <w:pPr>
        <w:ind w:left="1170" w:hanging="852"/>
        <w:jc w:val="left"/>
      </w:pPr>
      <w:rPr>
        <w:rFonts w:hint="default"/>
        <w:b/>
        <w:bCs/>
        <w:spacing w:val="-1"/>
        <w:w w:val="100"/>
        <w:lang w:val="en-US" w:eastAsia="en-US" w:bidi="en-US"/>
      </w:rPr>
    </w:lvl>
    <w:lvl w:ilvl="2">
      <w:start w:val="1"/>
      <w:numFmt w:val="decimal"/>
      <w:lvlText w:val="%1.%2.%3"/>
      <w:lvlJc w:val="left"/>
      <w:pPr>
        <w:ind w:left="318" w:hanging="840"/>
        <w:jc w:val="left"/>
      </w:pPr>
      <w:rPr>
        <w:rFonts w:hint="default"/>
        <w:spacing w:val="-1"/>
        <w:w w:val="100"/>
        <w:lang w:val="en-US" w:eastAsia="en-US" w:bidi="en-US"/>
      </w:rPr>
    </w:lvl>
    <w:lvl w:ilvl="3">
      <w:start w:val="1"/>
      <w:numFmt w:val="decimal"/>
      <w:lvlText w:val=".%4"/>
      <w:lvlJc w:val="left"/>
      <w:pPr>
        <w:ind w:left="2020" w:hanging="840"/>
        <w:jc w:val="left"/>
      </w:pPr>
      <w:rPr>
        <w:rFonts w:hint="default" w:ascii="Arial" w:hAnsi="Arial" w:eastAsia="Arial" w:cs="Arial"/>
        <w:spacing w:val="0"/>
        <w:w w:val="100"/>
        <w:sz w:val="22"/>
        <w:szCs w:val="22"/>
        <w:lang w:val="en-US" w:eastAsia="en-US" w:bidi="en-US"/>
      </w:rPr>
    </w:lvl>
    <w:lvl w:ilvl="4">
      <w:start w:val="0"/>
      <w:numFmt w:val="bullet"/>
      <w:lvlText w:val="•"/>
      <w:lvlJc w:val="left"/>
      <w:pPr>
        <w:ind w:left="3966" w:hanging="840"/>
      </w:pPr>
      <w:rPr>
        <w:rFonts w:hint="default"/>
        <w:lang w:val="en-US" w:eastAsia="en-US" w:bidi="en-US"/>
      </w:rPr>
    </w:lvl>
    <w:lvl w:ilvl="5">
      <w:start w:val="0"/>
      <w:numFmt w:val="bullet"/>
      <w:lvlText w:val="•"/>
      <w:lvlJc w:val="left"/>
      <w:pPr>
        <w:ind w:left="4939" w:hanging="840"/>
      </w:pPr>
      <w:rPr>
        <w:rFonts w:hint="default"/>
        <w:lang w:val="en-US" w:eastAsia="en-US" w:bidi="en-US"/>
      </w:rPr>
    </w:lvl>
    <w:lvl w:ilvl="6">
      <w:start w:val="0"/>
      <w:numFmt w:val="bullet"/>
      <w:lvlText w:val="•"/>
      <w:lvlJc w:val="left"/>
      <w:pPr>
        <w:ind w:left="5913" w:hanging="840"/>
      </w:pPr>
      <w:rPr>
        <w:rFonts w:hint="default"/>
        <w:lang w:val="en-US" w:eastAsia="en-US" w:bidi="en-US"/>
      </w:rPr>
    </w:lvl>
    <w:lvl w:ilvl="7">
      <w:start w:val="0"/>
      <w:numFmt w:val="bullet"/>
      <w:lvlText w:val="•"/>
      <w:lvlJc w:val="left"/>
      <w:pPr>
        <w:ind w:left="6886" w:hanging="840"/>
      </w:pPr>
      <w:rPr>
        <w:rFonts w:hint="default"/>
        <w:lang w:val="en-US" w:eastAsia="en-US" w:bidi="en-US"/>
      </w:rPr>
    </w:lvl>
    <w:lvl w:ilvl="8">
      <w:start w:val="0"/>
      <w:numFmt w:val="bullet"/>
      <w:lvlText w:val="•"/>
      <w:lvlJc w:val="left"/>
      <w:pPr>
        <w:ind w:left="7859" w:hanging="840"/>
      </w:pPr>
      <w:rPr>
        <w:rFonts w:hint="default"/>
        <w:lang w:val="en-US" w:eastAsia="en-US" w:bidi="en-US"/>
      </w:rPr>
    </w:lvl>
  </w:abstractNum>
  <w:abstractNum w:abstractNumId="0">
    <w:multiLevelType w:val="hybridMultilevel"/>
    <w:lvl w:ilvl="0">
      <w:start w:val="1"/>
      <w:numFmt w:val="decimal"/>
      <w:lvlText w:val="%1"/>
      <w:lvlJc w:val="left"/>
      <w:pPr>
        <w:ind w:left="318" w:hanging="852"/>
        <w:jc w:val="left"/>
      </w:pPr>
      <w:rPr>
        <w:rFonts w:hint="default" w:ascii="Arial" w:hAnsi="Arial" w:eastAsia="Arial" w:cs="Arial"/>
        <w:w w:val="100"/>
        <w:sz w:val="22"/>
        <w:szCs w:val="22"/>
        <w:lang w:val="en-US" w:eastAsia="en-US" w:bidi="en-US"/>
      </w:rPr>
    </w:lvl>
    <w:lvl w:ilvl="1">
      <w:start w:val="0"/>
      <w:numFmt w:val="bullet"/>
      <w:lvlText w:val="•"/>
      <w:lvlJc w:val="left"/>
      <w:pPr>
        <w:ind w:left="1268" w:hanging="852"/>
      </w:pPr>
      <w:rPr>
        <w:rFonts w:hint="default"/>
        <w:lang w:val="en-US" w:eastAsia="en-US" w:bidi="en-US"/>
      </w:rPr>
    </w:lvl>
    <w:lvl w:ilvl="2">
      <w:start w:val="0"/>
      <w:numFmt w:val="bullet"/>
      <w:lvlText w:val="•"/>
      <w:lvlJc w:val="left"/>
      <w:pPr>
        <w:ind w:left="2217" w:hanging="852"/>
      </w:pPr>
      <w:rPr>
        <w:rFonts w:hint="default"/>
        <w:lang w:val="en-US" w:eastAsia="en-US" w:bidi="en-US"/>
      </w:rPr>
    </w:lvl>
    <w:lvl w:ilvl="3">
      <w:start w:val="0"/>
      <w:numFmt w:val="bullet"/>
      <w:lvlText w:val="•"/>
      <w:lvlJc w:val="left"/>
      <w:pPr>
        <w:ind w:left="3165" w:hanging="852"/>
      </w:pPr>
      <w:rPr>
        <w:rFonts w:hint="default"/>
        <w:lang w:val="en-US" w:eastAsia="en-US" w:bidi="en-US"/>
      </w:rPr>
    </w:lvl>
    <w:lvl w:ilvl="4">
      <w:start w:val="0"/>
      <w:numFmt w:val="bullet"/>
      <w:lvlText w:val="•"/>
      <w:lvlJc w:val="left"/>
      <w:pPr>
        <w:ind w:left="4114" w:hanging="852"/>
      </w:pPr>
      <w:rPr>
        <w:rFonts w:hint="default"/>
        <w:lang w:val="en-US" w:eastAsia="en-US" w:bidi="en-US"/>
      </w:rPr>
    </w:lvl>
    <w:lvl w:ilvl="5">
      <w:start w:val="0"/>
      <w:numFmt w:val="bullet"/>
      <w:lvlText w:val="•"/>
      <w:lvlJc w:val="left"/>
      <w:pPr>
        <w:ind w:left="5063" w:hanging="852"/>
      </w:pPr>
      <w:rPr>
        <w:rFonts w:hint="default"/>
        <w:lang w:val="en-US" w:eastAsia="en-US" w:bidi="en-US"/>
      </w:rPr>
    </w:lvl>
    <w:lvl w:ilvl="6">
      <w:start w:val="0"/>
      <w:numFmt w:val="bullet"/>
      <w:lvlText w:val="•"/>
      <w:lvlJc w:val="left"/>
      <w:pPr>
        <w:ind w:left="6011" w:hanging="852"/>
      </w:pPr>
      <w:rPr>
        <w:rFonts w:hint="default"/>
        <w:lang w:val="en-US" w:eastAsia="en-US" w:bidi="en-US"/>
      </w:rPr>
    </w:lvl>
    <w:lvl w:ilvl="7">
      <w:start w:val="0"/>
      <w:numFmt w:val="bullet"/>
      <w:lvlText w:val="•"/>
      <w:lvlJc w:val="left"/>
      <w:pPr>
        <w:ind w:left="6960" w:hanging="852"/>
      </w:pPr>
      <w:rPr>
        <w:rFonts w:hint="default"/>
        <w:lang w:val="en-US" w:eastAsia="en-US" w:bidi="en-US"/>
      </w:rPr>
    </w:lvl>
    <w:lvl w:ilvl="8">
      <w:start w:val="0"/>
      <w:numFmt w:val="bullet"/>
      <w:lvlText w:val="•"/>
      <w:lvlJc w:val="left"/>
      <w:pPr>
        <w:ind w:left="7909" w:hanging="852"/>
      </w:pPr>
      <w:rPr>
        <w:rFonts w:hint="default"/>
        <w:lang w:val="en-US" w:eastAsia="en-US" w:bidi="en-U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1170" w:hanging="853"/>
      <w:jc w:val="both"/>
      <w:outlineLvl w:val="1"/>
    </w:pPr>
    <w:rPr>
      <w:rFonts w:ascii="Arial" w:hAnsi="Arial" w:eastAsia="Arial" w:cs="Arial"/>
      <w:b/>
      <w:bCs/>
      <w:sz w:val="22"/>
      <w:szCs w:val="22"/>
      <w:lang w:val="en-US" w:eastAsia="en-US" w:bidi="en-US"/>
    </w:rPr>
  </w:style>
  <w:style w:styleId="Heading2" w:type="paragraph">
    <w:name w:val="Heading 2"/>
    <w:basedOn w:val="Normal"/>
    <w:uiPriority w:val="1"/>
    <w:qFormat/>
    <w:pPr>
      <w:ind w:left="1170" w:hanging="853"/>
      <w:jc w:val="both"/>
      <w:outlineLvl w:val="2"/>
    </w:pPr>
    <w:rPr>
      <w:rFonts w:ascii="Arial" w:hAnsi="Arial" w:eastAsia="Arial" w:cs="Arial"/>
      <w:b/>
      <w:bCs/>
      <w:i/>
      <w:sz w:val="22"/>
      <w:szCs w:val="22"/>
      <w:lang w:val="en-US" w:eastAsia="en-US" w:bidi="en-US"/>
    </w:rPr>
  </w:style>
  <w:style w:styleId="ListParagraph" w:type="paragraph">
    <w:name w:val="List Paragraph"/>
    <w:basedOn w:val="Normal"/>
    <w:uiPriority w:val="1"/>
    <w:qFormat/>
    <w:pPr>
      <w:ind w:left="318"/>
      <w:jc w:val="both"/>
    </w:pPr>
    <w:rPr>
      <w:rFonts w:ascii="Arial" w:hAnsi="Arial" w:eastAsia="Arial" w:cs="Arial"/>
      <w:lang w:val="en-US" w:eastAsia="en-US" w:bidi="en-US"/>
    </w:rPr>
  </w:style>
  <w:style w:styleId="TableParagraph" w:type="paragraph">
    <w:name w:val="Table Paragraph"/>
    <w:basedOn w:val="Normal"/>
    <w:uiPriority w:val="1"/>
    <w:qFormat/>
    <w:pPr>
      <w:jc w:val="center"/>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rlamin</dc:creator>
  <dcterms:created xsi:type="dcterms:W3CDTF">2020-03-18T07:00:19Z</dcterms:created>
  <dcterms:modified xsi:type="dcterms:W3CDTF">2020-03-18T07:00:19Z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2015-07-10T00:00:00Z</vt:filetime>
  </property>
  <property fmtid="{D5CDD505-2E9C-101B-9397-08002B2CF9AE}" pid="3" name="Creator">
    <vt:lpwstr>Microsoft® Word 2013</vt:lpwstr>
  </property>
  <property fmtid="{D5CDD505-2E9C-101B-9397-08002B2CF9AE}" pid="4" name="LastSaved">
    <vt:filetime>2020-03-18T00:00:00Z</vt:filetime>
  </property>
</Properties>
</file>