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rPr>
      </w:pPr>
    </w:p>
    <w:p>
      <w:pPr>
        <w:pStyle w:val="BodyText"/>
        <w:ind w:left="5679"/>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123.9pt;height:54.7pt;mso-position-horizontal-relative:char;mso-position-vertical-relative:line" type="#_x0000_t202" filled="false" stroked="true" strokeweight=".75pt" strokecolor="#000000">
            <w10:anchorlock/>
            <v:textbox inset="0,0,0,0">
              <w:txbxContent>
                <w:p>
                  <w:pPr>
                    <w:spacing w:line="288" w:lineRule="auto" w:before="95"/>
                    <w:ind w:left="450" w:right="448" w:firstLine="1"/>
                    <w:jc w:val="center"/>
                    <w:rPr>
                      <w:rFonts w:ascii="Calibri" w:eastAsia="Calibri"/>
                      <w:b/>
                      <w:sz w:val="21"/>
                    </w:rPr>
                  </w:pPr>
                  <w:r>
                    <w:rPr>
                      <w:sz w:val="21"/>
                    </w:rPr>
                    <w:t>指导性文件</w:t>
                  </w:r>
                  <w:r>
                    <w:rPr>
                      <w:rFonts w:ascii="Calibri" w:eastAsia="Calibri"/>
                      <w:b/>
                      <w:sz w:val="21"/>
                    </w:rPr>
                    <w:t>GUIDANCE </w:t>
                  </w:r>
                  <w:r>
                    <w:rPr>
                      <w:rFonts w:ascii="Calibri" w:eastAsia="Calibri"/>
                      <w:b/>
                      <w:spacing w:val="-6"/>
                      <w:sz w:val="21"/>
                    </w:rPr>
                    <w:t>NOTES </w:t>
                  </w:r>
                  <w:r>
                    <w:rPr>
                      <w:rFonts w:ascii="Calibri" w:eastAsia="Calibri"/>
                      <w:b/>
                      <w:sz w:val="21"/>
                    </w:rPr>
                    <w:t>GD22-2016</w:t>
                  </w:r>
                </w:p>
              </w:txbxContent>
            </v:textbox>
            <v:stroke dashstyle="solid"/>
          </v:shape>
        </w:pict>
      </w:r>
      <w:r>
        <w:rPr>
          <w:rFonts w:ascii="Times New Roman"/>
          <w:position w:val="0"/>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3"/>
        </w:rPr>
      </w:pPr>
    </w:p>
    <w:p>
      <w:pPr>
        <w:pStyle w:val="BodyText"/>
        <w:spacing w:before="67"/>
        <w:ind w:left="1743" w:right="1981"/>
        <w:jc w:val="center"/>
      </w:pPr>
      <w:r>
        <w:rPr/>
        <w:drawing>
          <wp:anchor distT="0" distB="0" distL="0" distR="0" allowOverlap="1" layoutInCell="1" locked="0" behindDoc="0" simplePos="0" relativeHeight="251659264">
            <wp:simplePos x="0" y="0"/>
            <wp:positionH relativeFrom="page">
              <wp:posOffset>2891154</wp:posOffset>
            </wp:positionH>
            <wp:positionV relativeFrom="paragraph">
              <wp:posOffset>-2815716</wp:posOffset>
            </wp:positionV>
            <wp:extent cx="1792223" cy="246430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92223" cy="2464307"/>
                    </a:xfrm>
                    <a:prstGeom prst="rect">
                      <a:avLst/>
                    </a:prstGeom>
                  </pic:spPr>
                </pic:pic>
              </a:graphicData>
            </a:graphic>
          </wp:anchor>
        </w:drawing>
      </w:r>
      <w:r>
        <w:rPr/>
        <w:t>中国船级社</w:t>
      </w:r>
    </w:p>
    <w:p>
      <w:pPr>
        <w:pStyle w:val="BodyText"/>
      </w:pPr>
    </w:p>
    <w:p>
      <w:pPr>
        <w:pStyle w:val="BodyText"/>
        <w:rPr>
          <w:sz w:val="21"/>
        </w:rPr>
      </w:pPr>
    </w:p>
    <w:p>
      <w:pPr>
        <w:spacing w:line="266" w:lineRule="auto" w:before="0"/>
        <w:ind w:left="1743" w:right="1982" w:firstLine="0"/>
        <w:jc w:val="center"/>
        <w:rPr>
          <w:b/>
          <w:sz w:val="44"/>
        </w:rPr>
      </w:pPr>
      <w:r>
        <w:rPr>
          <w:b/>
          <w:spacing w:val="-1"/>
          <w:w w:val="95"/>
          <w:sz w:val="44"/>
        </w:rPr>
        <w:t>船舶废气清洗系统预设指南</w:t>
      </w:r>
      <w:r>
        <w:rPr>
          <w:b/>
          <w:sz w:val="44"/>
        </w:rPr>
        <w:t>(2016)</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spacing w:before="333"/>
        <w:ind w:left="1743" w:right="1978" w:firstLine="0"/>
        <w:jc w:val="center"/>
        <w:rPr>
          <w:b/>
          <w:sz w:val="28"/>
        </w:rPr>
      </w:pPr>
      <w:r>
        <w:rPr>
          <w:b/>
          <w:sz w:val="28"/>
        </w:rPr>
        <w:t>生效日期：2016 年 11 月 1 日</w:t>
      </w:r>
    </w:p>
    <w:p>
      <w:pPr>
        <w:spacing w:after="0"/>
        <w:jc w:val="center"/>
        <w:rPr>
          <w:sz w:val="28"/>
        </w:rPr>
        <w:sectPr>
          <w:type w:val="continuous"/>
          <w:pgSz w:w="11910" w:h="16840"/>
          <w:pgMar w:top="1520" w:bottom="280" w:left="1680" w:right="1440"/>
        </w:sectPr>
      </w:pPr>
    </w:p>
    <w:p>
      <w:pPr>
        <w:tabs>
          <w:tab w:pos="561" w:val="left" w:leader="none"/>
        </w:tabs>
        <w:spacing w:before="129"/>
        <w:ind w:left="0" w:right="236" w:firstLine="0"/>
        <w:jc w:val="center"/>
        <w:rPr>
          <w:b/>
          <w:sz w:val="28"/>
        </w:rPr>
      </w:pPr>
      <w:r>
        <w:rPr>
          <w:b/>
          <w:sz w:val="28"/>
        </w:rPr>
        <w:t>目</w:t>
        <w:tab/>
        <w:t>录</w:t>
      </w:r>
    </w:p>
    <w:sdt>
      <w:sdtPr>
        <w:docPartObj>
          <w:docPartGallery w:val="Table of Contents"/>
          <w:docPartUnique/>
        </w:docPartObj>
      </w:sdtPr>
      <w:sdtEndPr/>
      <w:sdtContent>
        <w:p>
          <w:pPr>
            <w:pStyle w:val="TOC1"/>
            <w:tabs>
              <w:tab w:pos="8197" w:val="left" w:leader="dot"/>
            </w:tabs>
            <w:spacing w:before="357"/>
            <w:rPr>
              <w:rFonts w:ascii="Calibri" w:eastAsia="Calibri"/>
            </w:rPr>
          </w:pPr>
          <w:hyperlink w:history="true" w:anchor="_bookmark0">
            <w:r>
              <w:rPr/>
              <w:t>前言</w:t>
              <w:tab/>
            </w:r>
            <w:r>
              <w:rPr>
                <w:rFonts w:ascii="Calibri" w:eastAsia="Calibri"/>
                <w:w w:val="95"/>
              </w:rPr>
              <w:t>1</w:t>
            </w:r>
          </w:hyperlink>
        </w:p>
        <w:p>
          <w:pPr>
            <w:pStyle w:val="TOC1"/>
            <w:tabs>
              <w:tab w:pos="8197" w:val="left" w:leader="dot"/>
            </w:tabs>
            <w:spacing w:before="332"/>
            <w:rPr>
              <w:rFonts w:ascii="Calibri" w:eastAsia="Calibri"/>
            </w:rPr>
          </w:pPr>
          <w:hyperlink w:history="true" w:anchor="_bookmark1">
            <w:r>
              <w:rPr/>
              <w:t>第</w:t>
            </w:r>
            <w:r>
              <w:rPr>
                <w:spacing w:val="-53"/>
              </w:rPr>
              <w:t> </w:t>
            </w:r>
            <w:r>
              <w:rPr/>
              <w:t>1</w:t>
            </w:r>
            <w:r>
              <w:rPr>
                <w:spacing w:val="-48"/>
              </w:rPr>
              <w:t> </w:t>
            </w:r>
            <w:r>
              <w:rPr/>
              <w:t>章 通则</w:t>
              <w:tab/>
            </w:r>
            <w:r>
              <w:rPr>
                <w:rFonts w:ascii="Calibri" w:eastAsia="Calibri"/>
                <w:w w:val="95"/>
              </w:rPr>
              <w:t>2</w:t>
            </w:r>
          </w:hyperlink>
        </w:p>
        <w:p>
          <w:pPr>
            <w:pStyle w:val="TOC3"/>
            <w:numPr>
              <w:ilvl w:val="1"/>
              <w:numId w:val="1"/>
            </w:numPr>
            <w:tabs>
              <w:tab w:pos="663" w:val="left" w:leader="none"/>
              <w:tab w:pos="8317" w:val="left" w:leader="dot"/>
            </w:tabs>
            <w:spacing w:line="240" w:lineRule="auto" w:before="332" w:after="0"/>
            <w:ind w:left="662" w:right="0" w:hanging="332"/>
            <w:jc w:val="left"/>
            <w:rPr>
              <w:rFonts w:ascii="Calibri" w:eastAsia="Calibri"/>
            </w:rPr>
          </w:pPr>
          <w:hyperlink w:history="true" w:anchor="_bookmark2">
            <w:r>
              <w:rPr/>
              <w:t>适用范围</w:t>
              <w:tab/>
            </w:r>
            <w:r>
              <w:rPr>
                <w:rFonts w:ascii="Calibri" w:eastAsia="Calibri"/>
              </w:rPr>
              <w:t>2</w:t>
            </w:r>
          </w:hyperlink>
        </w:p>
        <w:p>
          <w:pPr>
            <w:pStyle w:val="TOC2"/>
            <w:numPr>
              <w:ilvl w:val="1"/>
              <w:numId w:val="1"/>
            </w:numPr>
            <w:tabs>
              <w:tab w:pos="663" w:val="left" w:leader="none"/>
              <w:tab w:pos="7986" w:val="left" w:leader="dot"/>
            </w:tabs>
            <w:spacing w:line="240" w:lineRule="auto" w:before="211" w:after="0"/>
            <w:ind w:left="662" w:right="365" w:hanging="663"/>
            <w:jc w:val="right"/>
            <w:rPr>
              <w:rFonts w:ascii="Calibri" w:eastAsia="Calibri"/>
            </w:rPr>
          </w:pPr>
          <w:hyperlink w:history="true" w:anchor="_bookmark3">
            <w:r>
              <w:rPr/>
              <w:t>定义与缩写</w:t>
              <w:tab/>
            </w:r>
            <w:r>
              <w:rPr>
                <w:rFonts w:ascii="Calibri" w:eastAsia="Calibri"/>
                <w:w w:val="95"/>
              </w:rPr>
              <w:t>2</w:t>
            </w:r>
          </w:hyperlink>
        </w:p>
        <w:p>
          <w:pPr>
            <w:pStyle w:val="TOC3"/>
            <w:numPr>
              <w:ilvl w:val="1"/>
              <w:numId w:val="1"/>
            </w:numPr>
            <w:tabs>
              <w:tab w:pos="663" w:val="left" w:leader="none"/>
              <w:tab w:pos="8317" w:val="left" w:leader="dot"/>
            </w:tabs>
            <w:spacing w:line="240" w:lineRule="auto" w:before="212" w:after="0"/>
            <w:ind w:left="662" w:right="0" w:hanging="332"/>
            <w:jc w:val="left"/>
            <w:rPr>
              <w:rFonts w:ascii="Calibri" w:eastAsia="Calibri"/>
            </w:rPr>
          </w:pPr>
          <w:hyperlink w:history="true" w:anchor="_bookmark4">
            <w:r>
              <w:rPr/>
              <w:t>附加标志</w:t>
              <w:tab/>
            </w:r>
            <w:r>
              <w:rPr>
                <w:rFonts w:ascii="Calibri" w:eastAsia="Calibri"/>
              </w:rPr>
              <w:t>3</w:t>
            </w:r>
          </w:hyperlink>
        </w:p>
        <w:p>
          <w:pPr>
            <w:pStyle w:val="TOC3"/>
            <w:numPr>
              <w:ilvl w:val="1"/>
              <w:numId w:val="1"/>
            </w:numPr>
            <w:tabs>
              <w:tab w:pos="663" w:val="left" w:leader="none"/>
              <w:tab w:pos="8317" w:val="left" w:leader="dot"/>
            </w:tabs>
            <w:spacing w:line="240" w:lineRule="auto" w:before="213" w:after="0"/>
            <w:ind w:left="662" w:right="0" w:hanging="332"/>
            <w:jc w:val="left"/>
            <w:rPr>
              <w:rFonts w:ascii="Calibri" w:eastAsia="Calibri"/>
            </w:rPr>
          </w:pPr>
          <w:hyperlink w:history="true" w:anchor="_bookmark5">
            <w:r>
              <w:rPr/>
              <w:t>图纸资料</w:t>
              <w:tab/>
            </w:r>
            <w:r>
              <w:rPr>
                <w:rFonts w:ascii="Calibri" w:eastAsia="Calibri"/>
              </w:rPr>
              <w:t>3</w:t>
            </w:r>
          </w:hyperlink>
        </w:p>
        <w:p>
          <w:pPr>
            <w:pStyle w:val="TOC1"/>
            <w:tabs>
              <w:tab w:pos="8197" w:val="left" w:leader="dot"/>
            </w:tabs>
            <w:rPr>
              <w:rFonts w:ascii="Calibri" w:eastAsia="Calibri"/>
            </w:rPr>
          </w:pPr>
          <w:hyperlink w:history="true" w:anchor="_bookmark6">
            <w:r>
              <w:rPr/>
              <w:t>第</w:t>
            </w:r>
            <w:r>
              <w:rPr>
                <w:spacing w:val="-53"/>
              </w:rPr>
              <w:t> </w:t>
            </w:r>
            <w:r>
              <w:rPr/>
              <w:t>2</w:t>
            </w:r>
            <w:r>
              <w:rPr>
                <w:spacing w:val="-48"/>
              </w:rPr>
              <w:t> </w:t>
            </w:r>
            <w:r>
              <w:rPr/>
              <w:t>章</w:t>
            </w:r>
            <w:r>
              <w:rPr>
                <w:spacing w:val="-2"/>
              </w:rPr>
              <w:t> </w:t>
            </w:r>
            <w:r>
              <w:rPr/>
              <w:t>EGC</w:t>
            </w:r>
            <w:r>
              <w:rPr>
                <w:spacing w:val="-49"/>
              </w:rPr>
              <w:t> </w:t>
            </w:r>
            <w:r>
              <w:rPr/>
              <w:t>系统预设要求</w:t>
              <w:tab/>
            </w:r>
            <w:r>
              <w:rPr>
                <w:rFonts w:ascii="Calibri" w:eastAsia="Calibri"/>
                <w:w w:val="95"/>
              </w:rPr>
              <w:t>5</w:t>
            </w:r>
          </w:hyperlink>
        </w:p>
        <w:p>
          <w:pPr>
            <w:pStyle w:val="TOC3"/>
            <w:numPr>
              <w:ilvl w:val="1"/>
              <w:numId w:val="2"/>
            </w:numPr>
            <w:tabs>
              <w:tab w:pos="634" w:val="left" w:leader="none"/>
              <w:tab w:pos="8317" w:val="left" w:leader="dot"/>
            </w:tabs>
            <w:spacing w:line="240" w:lineRule="auto" w:before="332" w:after="0"/>
            <w:ind w:left="634" w:right="0" w:hanging="303"/>
            <w:jc w:val="left"/>
            <w:rPr>
              <w:rFonts w:ascii="Calibri" w:eastAsia="Calibri"/>
            </w:rPr>
          </w:pPr>
          <w:hyperlink w:history="true" w:anchor="_bookmark7">
            <w:r>
              <w:rPr/>
              <w:t>一般要求</w:t>
              <w:tab/>
            </w:r>
            <w:r>
              <w:rPr>
                <w:rFonts w:ascii="Calibri" w:eastAsia="Calibri"/>
              </w:rPr>
              <w:t>5</w:t>
            </w:r>
          </w:hyperlink>
        </w:p>
        <w:p>
          <w:pPr>
            <w:pStyle w:val="TOC3"/>
            <w:numPr>
              <w:ilvl w:val="1"/>
              <w:numId w:val="2"/>
            </w:numPr>
            <w:tabs>
              <w:tab w:pos="634" w:val="left" w:leader="none"/>
              <w:tab w:pos="8317" w:val="left" w:leader="dot"/>
            </w:tabs>
            <w:spacing w:line="240" w:lineRule="auto" w:before="212" w:after="0"/>
            <w:ind w:left="634" w:right="0" w:hanging="303"/>
            <w:jc w:val="left"/>
            <w:rPr>
              <w:rFonts w:ascii="Calibri" w:eastAsia="Calibri"/>
            </w:rPr>
          </w:pPr>
          <w:hyperlink w:history="true" w:anchor="_bookmark8">
            <w:r>
              <w:rPr/>
              <w:t>匹配设计</w:t>
              <w:tab/>
            </w:r>
            <w:r>
              <w:rPr>
                <w:rFonts w:ascii="Calibri" w:eastAsia="Calibri"/>
              </w:rPr>
              <w:t>5</w:t>
            </w:r>
          </w:hyperlink>
        </w:p>
        <w:p>
          <w:pPr>
            <w:pStyle w:val="TOC3"/>
            <w:numPr>
              <w:ilvl w:val="1"/>
              <w:numId w:val="2"/>
            </w:numPr>
            <w:tabs>
              <w:tab w:pos="663" w:val="left" w:leader="none"/>
              <w:tab w:pos="8317" w:val="left" w:leader="dot"/>
            </w:tabs>
            <w:spacing w:line="240" w:lineRule="auto" w:before="212" w:after="0"/>
            <w:ind w:left="662" w:right="0" w:hanging="332"/>
            <w:jc w:val="left"/>
            <w:rPr>
              <w:rFonts w:ascii="Calibri" w:eastAsia="Calibri"/>
            </w:rPr>
          </w:pPr>
          <w:hyperlink w:history="true" w:anchor="_bookmark9">
            <w:r>
              <w:rPr/>
              <w:t>排气背压</w:t>
              <w:tab/>
            </w:r>
            <w:r>
              <w:rPr>
                <w:rFonts w:ascii="Calibri" w:eastAsia="Calibri"/>
              </w:rPr>
              <w:t>6</w:t>
            </w:r>
          </w:hyperlink>
        </w:p>
        <w:p>
          <w:pPr>
            <w:pStyle w:val="TOC3"/>
            <w:numPr>
              <w:ilvl w:val="1"/>
              <w:numId w:val="2"/>
            </w:numPr>
            <w:tabs>
              <w:tab w:pos="663" w:val="left" w:leader="none"/>
              <w:tab w:pos="8317" w:val="left" w:leader="dot"/>
            </w:tabs>
            <w:spacing w:line="240" w:lineRule="auto" w:before="211" w:after="0"/>
            <w:ind w:left="662" w:right="0" w:hanging="332"/>
            <w:jc w:val="left"/>
            <w:rPr>
              <w:rFonts w:ascii="Calibri" w:eastAsia="Calibri"/>
            </w:rPr>
          </w:pPr>
          <w:hyperlink w:history="true" w:anchor="_bookmark10">
            <w:r>
              <w:rPr/>
              <w:t>脱硫塔</w:t>
              <w:tab/>
            </w:r>
            <w:r>
              <w:rPr>
                <w:rFonts w:ascii="Calibri" w:eastAsia="Calibri"/>
              </w:rPr>
              <w:t>6</w:t>
            </w:r>
          </w:hyperlink>
        </w:p>
        <w:p>
          <w:pPr>
            <w:pStyle w:val="TOC2"/>
            <w:numPr>
              <w:ilvl w:val="1"/>
              <w:numId w:val="2"/>
            </w:numPr>
            <w:tabs>
              <w:tab w:pos="634" w:val="left" w:leader="none"/>
              <w:tab w:pos="7986" w:val="left" w:leader="dot"/>
            </w:tabs>
            <w:spacing w:line="240" w:lineRule="auto" w:before="212" w:after="0"/>
            <w:ind w:left="634" w:right="365" w:hanging="634"/>
            <w:jc w:val="right"/>
            <w:rPr>
              <w:rFonts w:ascii="Calibri" w:eastAsia="Calibri"/>
            </w:rPr>
          </w:pPr>
          <w:hyperlink w:history="true" w:anchor="_bookmark11">
            <w:r>
              <w:rPr/>
              <w:t>分舱与稳性</w:t>
              <w:tab/>
            </w:r>
            <w:r>
              <w:rPr>
                <w:rFonts w:ascii="Calibri" w:eastAsia="Calibri"/>
                <w:w w:val="95"/>
              </w:rPr>
              <w:t>6</w:t>
            </w:r>
          </w:hyperlink>
        </w:p>
        <w:p>
          <w:pPr>
            <w:pStyle w:val="TOC2"/>
            <w:numPr>
              <w:ilvl w:val="1"/>
              <w:numId w:val="2"/>
            </w:numPr>
            <w:tabs>
              <w:tab w:pos="332" w:val="left" w:leader="none"/>
              <w:tab w:pos="7986" w:val="left" w:leader="dot"/>
            </w:tabs>
            <w:spacing w:line="240" w:lineRule="auto" w:before="212" w:after="0"/>
            <w:ind w:left="662" w:right="365" w:hanging="663"/>
            <w:jc w:val="right"/>
            <w:rPr>
              <w:rFonts w:ascii="Calibri" w:eastAsia="Calibri"/>
            </w:rPr>
          </w:pPr>
          <w:hyperlink w:history="true" w:anchor="_bookmark12">
            <w:r>
              <w:rPr/>
              <w:t>脱硫剂加注与储存</w:t>
              <w:tab/>
            </w:r>
            <w:r>
              <w:rPr>
                <w:rFonts w:ascii="Calibri" w:eastAsia="Calibri"/>
                <w:w w:val="95"/>
              </w:rPr>
              <w:t>6</w:t>
            </w:r>
          </w:hyperlink>
        </w:p>
        <w:p>
          <w:pPr>
            <w:pStyle w:val="TOC2"/>
            <w:numPr>
              <w:ilvl w:val="1"/>
              <w:numId w:val="2"/>
            </w:numPr>
            <w:tabs>
              <w:tab w:pos="332" w:val="left" w:leader="none"/>
              <w:tab w:pos="7986" w:val="left" w:leader="dot"/>
            </w:tabs>
            <w:spacing w:line="240" w:lineRule="auto" w:before="212" w:after="0"/>
            <w:ind w:left="662" w:right="365" w:hanging="663"/>
            <w:jc w:val="right"/>
            <w:rPr>
              <w:rFonts w:ascii="Calibri" w:eastAsia="Calibri"/>
            </w:rPr>
          </w:pPr>
          <w:hyperlink w:history="true" w:anchor="_bookmark13">
            <w:r>
              <w:rPr/>
              <w:t>脱硫剂、碱液</w:t>
            </w:r>
            <w:r>
              <w:rPr>
                <w:rFonts w:ascii="Calibri" w:eastAsia="Calibri"/>
              </w:rPr>
              <w:t>/</w:t>
            </w:r>
            <w:r>
              <w:rPr/>
              <w:t>浆液制备与供应</w:t>
              <w:tab/>
            </w:r>
            <w:r>
              <w:rPr>
                <w:rFonts w:ascii="Calibri" w:eastAsia="Calibri"/>
                <w:w w:val="95"/>
              </w:rPr>
              <w:t>7</w:t>
            </w:r>
          </w:hyperlink>
        </w:p>
        <w:p>
          <w:pPr>
            <w:pStyle w:val="TOC2"/>
            <w:numPr>
              <w:ilvl w:val="1"/>
              <w:numId w:val="2"/>
            </w:numPr>
            <w:tabs>
              <w:tab w:pos="332" w:val="left" w:leader="none"/>
              <w:tab w:pos="7986" w:val="left" w:leader="dot"/>
            </w:tabs>
            <w:spacing w:line="240" w:lineRule="auto" w:before="212" w:after="0"/>
            <w:ind w:left="662" w:right="365" w:hanging="663"/>
            <w:jc w:val="right"/>
            <w:rPr>
              <w:rFonts w:ascii="Calibri" w:eastAsia="Calibri"/>
            </w:rPr>
          </w:pPr>
          <w:hyperlink w:history="true" w:anchor="_bookmark14">
            <w:r>
              <w:rPr/>
              <w:t>洗涤水系统</w:t>
              <w:tab/>
            </w:r>
            <w:r>
              <w:rPr>
                <w:rFonts w:ascii="Calibri" w:eastAsia="Calibri"/>
                <w:w w:val="95"/>
              </w:rPr>
              <w:t>7</w:t>
            </w:r>
          </w:hyperlink>
        </w:p>
        <w:p>
          <w:pPr>
            <w:pStyle w:val="TOC2"/>
            <w:numPr>
              <w:ilvl w:val="1"/>
              <w:numId w:val="2"/>
            </w:numPr>
            <w:tabs>
              <w:tab w:pos="332" w:val="left" w:leader="none"/>
              <w:tab w:pos="7986" w:val="left" w:leader="dot"/>
            </w:tabs>
            <w:spacing w:line="240" w:lineRule="auto" w:before="211" w:after="0"/>
            <w:ind w:left="662" w:right="365" w:hanging="663"/>
            <w:jc w:val="right"/>
            <w:rPr>
              <w:rFonts w:ascii="Calibri" w:eastAsia="Calibri"/>
            </w:rPr>
          </w:pPr>
          <w:hyperlink w:history="true" w:anchor="_bookmark15">
            <w:r>
              <w:rPr/>
              <w:t>脱硫渣系统</w:t>
              <w:tab/>
            </w:r>
            <w:r>
              <w:rPr>
                <w:rFonts w:ascii="Calibri" w:eastAsia="Calibri"/>
                <w:w w:val="95"/>
              </w:rPr>
              <w:t>8</w:t>
            </w:r>
          </w:hyperlink>
        </w:p>
        <w:p>
          <w:pPr>
            <w:pStyle w:val="TOC3"/>
            <w:numPr>
              <w:ilvl w:val="1"/>
              <w:numId w:val="2"/>
            </w:numPr>
            <w:tabs>
              <w:tab w:pos="764" w:val="left" w:leader="none"/>
              <w:tab w:pos="8317" w:val="left" w:leader="dot"/>
            </w:tabs>
            <w:spacing w:line="240" w:lineRule="auto" w:before="212" w:after="0"/>
            <w:ind w:left="763" w:right="0" w:hanging="433"/>
            <w:jc w:val="left"/>
            <w:rPr>
              <w:rFonts w:ascii="Calibri" w:eastAsia="Calibri"/>
            </w:rPr>
          </w:pPr>
          <w:hyperlink w:history="true" w:anchor="_bookmark16">
            <w:r>
              <w:rPr/>
              <w:t>排气系统</w:t>
              <w:tab/>
            </w:r>
            <w:r>
              <w:rPr>
                <w:rFonts w:ascii="Calibri" w:eastAsia="Calibri"/>
              </w:rPr>
              <w:t>8</w:t>
            </w:r>
          </w:hyperlink>
        </w:p>
        <w:p>
          <w:pPr>
            <w:pStyle w:val="TOC3"/>
            <w:numPr>
              <w:ilvl w:val="1"/>
              <w:numId w:val="2"/>
            </w:numPr>
            <w:tabs>
              <w:tab w:pos="764" w:val="left" w:leader="none"/>
              <w:tab w:pos="8317" w:val="left" w:leader="dot"/>
            </w:tabs>
            <w:spacing w:line="240" w:lineRule="auto" w:before="212" w:after="0"/>
            <w:ind w:left="763" w:right="0" w:hanging="433"/>
            <w:jc w:val="left"/>
            <w:rPr>
              <w:rFonts w:ascii="Calibri" w:eastAsia="Calibri"/>
            </w:rPr>
          </w:pPr>
          <w:hyperlink w:history="true" w:anchor="_bookmark17">
            <w:r>
              <w:rPr/>
              <w:t>海水</w:t>
            </w:r>
            <w:r>
              <w:rPr>
                <w:rFonts w:ascii="Calibri" w:eastAsia="Calibri"/>
              </w:rPr>
              <w:t>/</w:t>
            </w:r>
            <w:r>
              <w:rPr/>
              <w:t>淡水系统</w:t>
              <w:tab/>
            </w:r>
            <w:r>
              <w:rPr>
                <w:rFonts w:ascii="Calibri" w:eastAsia="Calibri"/>
              </w:rPr>
              <w:t>8</w:t>
            </w:r>
          </w:hyperlink>
        </w:p>
        <w:p>
          <w:pPr>
            <w:pStyle w:val="TOC3"/>
            <w:numPr>
              <w:ilvl w:val="1"/>
              <w:numId w:val="2"/>
            </w:numPr>
            <w:tabs>
              <w:tab w:pos="764" w:val="left" w:leader="none"/>
              <w:tab w:pos="8317" w:val="left" w:leader="dot"/>
            </w:tabs>
            <w:spacing w:line="240" w:lineRule="auto" w:before="212" w:after="0"/>
            <w:ind w:left="763" w:right="0" w:hanging="433"/>
            <w:jc w:val="left"/>
            <w:rPr>
              <w:rFonts w:ascii="Calibri" w:eastAsia="Calibri"/>
            </w:rPr>
          </w:pPr>
          <w:hyperlink w:history="true" w:anchor="_bookmark18">
            <w:r>
              <w:rPr/>
              <w:t>电气系统</w:t>
              <w:tab/>
            </w:r>
            <w:r>
              <w:rPr>
                <w:rFonts w:ascii="Calibri" w:eastAsia="Calibri"/>
              </w:rPr>
              <w:t>9</w:t>
            </w:r>
          </w:hyperlink>
        </w:p>
        <w:p>
          <w:pPr>
            <w:pStyle w:val="TOC3"/>
            <w:numPr>
              <w:ilvl w:val="1"/>
              <w:numId w:val="2"/>
            </w:numPr>
            <w:tabs>
              <w:tab w:pos="764" w:val="left" w:leader="none"/>
              <w:tab w:pos="8317" w:val="left" w:leader="dot"/>
            </w:tabs>
            <w:spacing w:line="240" w:lineRule="auto" w:before="212" w:after="0"/>
            <w:ind w:left="763" w:right="0" w:hanging="433"/>
            <w:jc w:val="left"/>
            <w:rPr>
              <w:rFonts w:ascii="Calibri" w:eastAsia="Calibri"/>
            </w:rPr>
          </w:pPr>
          <w:hyperlink w:history="true" w:anchor="_bookmark19">
            <w:r>
              <w:rPr/>
              <w:t>控制与监测</w:t>
              <w:tab/>
            </w:r>
            <w:r>
              <w:rPr>
                <w:rFonts w:ascii="Calibri" w:eastAsia="Calibri"/>
              </w:rPr>
              <w:t>9</w:t>
            </w:r>
          </w:hyperlink>
        </w:p>
      </w:sdtContent>
    </w:sdt>
    <w:p>
      <w:pPr>
        <w:spacing w:after="0" w:line="240" w:lineRule="auto"/>
        <w:jc w:val="left"/>
        <w:rPr>
          <w:rFonts w:ascii="Calibri" w:eastAsia="Calibri"/>
        </w:rPr>
        <w:sectPr>
          <w:headerReference w:type="default" r:id="rId6"/>
          <w:pgSz w:w="11910" w:h="16840"/>
          <w:pgMar w:header="906" w:footer="0" w:top="1440" w:bottom="280" w:left="1680" w:right="1440"/>
        </w:sectPr>
      </w:pPr>
    </w:p>
    <w:p>
      <w:pPr>
        <w:pStyle w:val="BodyText"/>
        <w:spacing w:before="3"/>
        <w:rPr>
          <w:rFonts w:ascii="Calibri"/>
          <w:sz w:val="37"/>
        </w:rPr>
      </w:pPr>
    </w:p>
    <w:p>
      <w:pPr>
        <w:pStyle w:val="Heading1"/>
      </w:pPr>
      <w:bookmarkStart w:name="_bookmark0" w:id="1"/>
      <w:bookmarkEnd w:id="1"/>
      <w:r>
        <w:rPr>
          <w:b w:val="0"/>
        </w:rPr>
      </w:r>
      <w:r>
        <w:rPr/>
        <w:t>前言</w:t>
      </w:r>
    </w:p>
    <w:p>
      <w:pPr>
        <w:pStyle w:val="BodyText"/>
        <w:spacing w:before="4"/>
        <w:rPr>
          <w:b/>
          <w:sz w:val="41"/>
        </w:rPr>
      </w:pPr>
    </w:p>
    <w:p>
      <w:pPr>
        <w:pStyle w:val="BodyText"/>
        <w:spacing w:line="364" w:lineRule="auto" w:before="1"/>
        <w:ind w:left="120" w:right="356" w:firstLine="479"/>
        <w:jc w:val="both"/>
      </w:pPr>
      <w:r>
        <w:rPr/>
        <w:t>IMO 关于全球航行船舶 0.5%硫含量燃油标准将于 2020 年开始实施（最迟2025</w:t>
      </w:r>
      <w:r>
        <w:rPr>
          <w:spacing w:val="-19"/>
        </w:rPr>
        <w:t> 年，视 </w:t>
      </w:r>
      <w:r>
        <w:rPr/>
        <w:t>IMO</w:t>
      </w:r>
      <w:r>
        <w:rPr>
          <w:spacing w:val="-7"/>
        </w:rPr>
        <w:t> 燃油可获得性专家组评估结果确定</w:t>
      </w:r>
      <w:r>
        <w:rPr>
          <w:spacing w:val="-120"/>
        </w:rPr>
        <w:t>）</w:t>
      </w:r>
      <w:r>
        <w:rPr>
          <w:spacing w:val="-14"/>
        </w:rPr>
        <w:t>，而 </w:t>
      </w:r>
      <w:r>
        <w:rPr/>
        <w:t>EU</w:t>
      </w:r>
      <w:r>
        <w:rPr>
          <w:spacing w:val="-8"/>
        </w:rPr>
        <w:t> 法规已明确欧盟将</w:t>
      </w:r>
      <w:r>
        <w:rPr>
          <w:spacing w:val="-31"/>
        </w:rPr>
        <w:t>于 </w:t>
      </w:r>
      <w:r>
        <w:rPr/>
        <w:t>2020</w:t>
      </w:r>
      <w:r>
        <w:rPr>
          <w:spacing w:val="-18"/>
        </w:rPr>
        <w:t> 年强制实施 </w:t>
      </w:r>
      <w:r>
        <w:rPr/>
        <w:t>0.5%</w:t>
      </w:r>
      <w:r>
        <w:rPr>
          <w:spacing w:val="-14"/>
        </w:rPr>
        <w:t>硫含量燃油标准。由于未来 </w:t>
      </w:r>
      <w:r>
        <w:rPr/>
        <w:t>0.5%</w:t>
      </w:r>
      <w:r>
        <w:rPr>
          <w:spacing w:val="-2"/>
        </w:rPr>
        <w:t>硫含量燃油的供应量及</w:t>
      </w:r>
      <w:r>
        <w:rPr>
          <w:spacing w:val="-10"/>
        </w:rPr>
        <w:t>价格尚不确定，由此引起的船舶营运燃料成本压力也很难预测，越来越多的船东</w:t>
      </w:r>
      <w:r>
        <w:rPr>
          <w:spacing w:val="-5"/>
        </w:rPr>
        <w:t>和设计者新造船时，考虑选择 </w:t>
      </w:r>
      <w:r>
        <w:rPr/>
        <w:t>EGC</w:t>
      </w:r>
      <w:r>
        <w:rPr>
          <w:spacing w:val="-8"/>
        </w:rPr>
        <w:t> 系统作为主要替代方案。</w:t>
      </w:r>
    </w:p>
    <w:p>
      <w:pPr>
        <w:pStyle w:val="BodyText"/>
        <w:spacing w:line="364" w:lineRule="auto" w:before="3"/>
        <w:ind w:left="120" w:right="237" w:firstLine="479"/>
      </w:pPr>
      <w:r>
        <w:rPr>
          <w:spacing w:val="-30"/>
        </w:rPr>
        <w:t>而 </w:t>
      </w:r>
      <w:r>
        <w:rPr/>
        <w:t>EGC</w:t>
      </w:r>
      <w:r>
        <w:rPr>
          <w:spacing w:val="-13"/>
        </w:rPr>
        <w:t> 系统较为复杂，包括脱硫塔、碱液柜、水处理装置、洗涤水系统、海水/淡水系统、残渣系统、控制监测系统等组成部分，如船舶设计与建造阶段未</w:t>
      </w:r>
      <w:r>
        <w:rPr>
          <w:spacing w:val="-25"/>
        </w:rPr>
        <w:t>考虑 </w:t>
      </w:r>
      <w:r>
        <w:rPr/>
        <w:t>EGC</w:t>
      </w:r>
      <w:r>
        <w:rPr>
          <w:spacing w:val="-8"/>
        </w:rPr>
        <w:t> 主要设备及系统的设计与布置，将来实施安装改造时会遇到很多困难， </w:t>
      </w:r>
      <w:r>
        <w:rPr>
          <w:spacing w:val="-9"/>
        </w:rPr>
        <w:t>尤其是脱硫塔、碱液柜的安装布置空间问题。为此，船东和设计者希望采取一种</w:t>
      </w:r>
      <w:r>
        <w:rPr>
          <w:spacing w:val="-8"/>
        </w:rPr>
        <w:t>更灵活的“</w:t>
      </w:r>
      <w:r>
        <w:rPr/>
        <w:t>EGC</w:t>
      </w:r>
      <w:r>
        <w:rPr>
          <w:spacing w:val="-12"/>
        </w:rPr>
        <w:t> 系统预设”方案，即：在船舶设计与建造阶段考虑了 </w:t>
      </w:r>
      <w:r>
        <w:rPr/>
        <w:t>EGC</w:t>
      </w:r>
      <w:r>
        <w:rPr>
          <w:spacing w:val="-15"/>
        </w:rPr>
        <w:t> 系统船</w:t>
      </w:r>
      <w:r>
        <w:rPr>
          <w:spacing w:val="-16"/>
        </w:rPr>
        <w:t>上应用相关的设计和布置，并预留了主要设备的安装空间、系统接口等，以适合</w:t>
      </w:r>
      <w:r>
        <w:rPr>
          <w:spacing w:val="-28"/>
        </w:rPr>
        <w:t>于将来 </w:t>
      </w:r>
      <w:r>
        <w:rPr/>
        <w:t>EGC</w:t>
      </w:r>
      <w:r>
        <w:rPr>
          <w:spacing w:val="-9"/>
        </w:rPr>
        <w:t> 系统的安装。</w:t>
      </w:r>
    </w:p>
    <w:p>
      <w:pPr>
        <w:pStyle w:val="BodyText"/>
        <w:spacing w:line="364" w:lineRule="auto" w:before="5"/>
        <w:ind w:left="120" w:right="356" w:firstLine="479"/>
        <w:jc w:val="both"/>
      </w:pPr>
      <w:r>
        <w:rPr>
          <w:spacing w:val="-12"/>
        </w:rPr>
        <w:t>基于上述 </w:t>
      </w:r>
      <w:r>
        <w:rPr/>
        <w:t>EGC</w:t>
      </w:r>
      <w:r>
        <w:rPr>
          <w:spacing w:val="-9"/>
        </w:rPr>
        <w:t> 系统预设需求，</w:t>
      </w:r>
      <w:r>
        <w:rPr>
          <w:spacing w:val="-5"/>
        </w:rPr>
        <w:t>CCS</w:t>
      </w:r>
      <w:r>
        <w:rPr>
          <w:spacing w:val="-24"/>
        </w:rPr>
        <w:t> 研究了 </w:t>
      </w:r>
      <w:r>
        <w:rPr/>
        <w:t>EGC</w:t>
      </w:r>
      <w:r>
        <w:rPr>
          <w:spacing w:val="-10"/>
        </w:rPr>
        <w:t> 系统装船设计、安装布置等方面需要考虑的因素和技术问题，制定了本指南，旨在明确 </w:t>
      </w:r>
      <w:r>
        <w:rPr/>
        <w:t>EGC</w:t>
      </w:r>
      <w:r>
        <w:rPr>
          <w:spacing w:val="-9"/>
        </w:rPr>
        <w:t> 系统预设附加标志</w:t>
      </w:r>
      <w:r>
        <w:rPr/>
        <w:t>及相关技术要求，为船舶设计、建造/改造、检验提供技术支持和服务。</w:t>
      </w:r>
    </w:p>
    <w:p>
      <w:pPr>
        <w:spacing w:after="0" w:line="364" w:lineRule="auto"/>
        <w:jc w:val="both"/>
        <w:sectPr>
          <w:footerReference w:type="default" r:id="rId7"/>
          <w:pgSz w:w="11910" w:h="16840"/>
          <w:pgMar w:footer="1195" w:header="906" w:top="1440" w:bottom="1380" w:left="1680" w:right="1440"/>
          <w:pgNumType w:start="1"/>
        </w:sectPr>
      </w:pPr>
    </w:p>
    <w:p>
      <w:pPr>
        <w:pStyle w:val="Heading1"/>
        <w:spacing w:before="123"/>
      </w:pPr>
      <w:bookmarkStart w:name="_bookmark1" w:id="2"/>
      <w:bookmarkEnd w:id="2"/>
      <w:r>
        <w:rPr>
          <w:b w:val="0"/>
        </w:rPr>
      </w:r>
      <w:r>
        <w:rPr/>
        <w:t>第 1 章 通则</w:t>
      </w:r>
    </w:p>
    <w:p>
      <w:pPr>
        <w:pStyle w:val="BodyText"/>
        <w:spacing w:before="10"/>
        <w:rPr>
          <w:b/>
          <w:sz w:val="41"/>
        </w:rPr>
      </w:pPr>
    </w:p>
    <w:p>
      <w:pPr>
        <w:pStyle w:val="Heading2"/>
        <w:numPr>
          <w:ilvl w:val="1"/>
          <w:numId w:val="3"/>
        </w:numPr>
        <w:tabs>
          <w:tab w:pos="579" w:val="left" w:leader="none"/>
        </w:tabs>
        <w:spacing w:line="240" w:lineRule="auto" w:before="0" w:after="0"/>
        <w:ind w:left="578" w:right="0" w:hanging="459"/>
        <w:jc w:val="left"/>
      </w:pPr>
      <w:bookmarkStart w:name="_bookmark2" w:id="3"/>
      <w:bookmarkEnd w:id="3"/>
      <w:r>
        <w:rPr>
          <w:b w:val="0"/>
        </w:rPr>
      </w:r>
      <w:bookmarkStart w:name="_bookmark2" w:id="4"/>
      <w:bookmarkEnd w:id="4"/>
      <w:r>
        <w:rPr/>
        <w:t>适用范围</w:t>
      </w:r>
    </w:p>
    <w:p>
      <w:pPr>
        <w:pStyle w:val="BodyText"/>
        <w:spacing w:before="7"/>
        <w:rPr>
          <w:b/>
          <w:sz w:val="32"/>
        </w:rPr>
      </w:pPr>
    </w:p>
    <w:p>
      <w:pPr>
        <w:pStyle w:val="ListParagraph"/>
        <w:numPr>
          <w:ilvl w:val="2"/>
          <w:numId w:val="3"/>
        </w:numPr>
        <w:tabs>
          <w:tab w:pos="841" w:val="left" w:leader="none"/>
        </w:tabs>
        <w:spacing w:line="364" w:lineRule="auto" w:before="0" w:after="0"/>
        <w:ind w:left="120" w:right="356" w:firstLine="0"/>
        <w:jc w:val="left"/>
        <w:rPr>
          <w:sz w:val="24"/>
        </w:rPr>
      </w:pPr>
      <w:r>
        <w:rPr>
          <w:spacing w:val="-6"/>
          <w:sz w:val="24"/>
        </w:rPr>
        <w:t>本指南适用于采用了 </w:t>
      </w:r>
      <w:r>
        <w:rPr>
          <w:sz w:val="24"/>
        </w:rPr>
        <w:t>EGC</w:t>
      </w:r>
      <w:r>
        <w:rPr>
          <w:spacing w:val="-18"/>
          <w:sz w:val="24"/>
        </w:rPr>
        <w:t> 系统预设方案，拟将来实施 </w:t>
      </w:r>
      <w:r>
        <w:rPr>
          <w:sz w:val="24"/>
        </w:rPr>
        <w:t>EGC</w:t>
      </w:r>
      <w:r>
        <w:rPr>
          <w:spacing w:val="-10"/>
          <w:sz w:val="24"/>
        </w:rPr>
        <w:t> 系统安装改造的</w:t>
      </w:r>
      <w:r>
        <w:rPr>
          <w:sz w:val="24"/>
        </w:rPr>
        <w:t>新造船舶。</w:t>
      </w:r>
    </w:p>
    <w:p>
      <w:pPr>
        <w:pStyle w:val="ListParagraph"/>
        <w:numPr>
          <w:ilvl w:val="2"/>
          <w:numId w:val="3"/>
        </w:numPr>
        <w:tabs>
          <w:tab w:pos="841" w:val="left" w:leader="none"/>
        </w:tabs>
        <w:spacing w:line="364" w:lineRule="auto" w:before="1" w:after="0"/>
        <w:ind w:left="120" w:right="356" w:firstLine="0"/>
        <w:jc w:val="left"/>
        <w:rPr>
          <w:sz w:val="24"/>
        </w:rPr>
      </w:pPr>
      <w:r>
        <w:rPr>
          <w:spacing w:val="-7"/>
          <w:sz w:val="24"/>
        </w:rPr>
        <w:t>本指南仅规定了船舶采用 </w:t>
      </w:r>
      <w:r>
        <w:rPr>
          <w:sz w:val="24"/>
        </w:rPr>
        <w:t>EGC</w:t>
      </w:r>
      <w:r>
        <w:rPr>
          <w:spacing w:val="-23"/>
          <w:sz w:val="24"/>
        </w:rPr>
        <w:t> 系统预设方案时，</w:t>
      </w:r>
      <w:r>
        <w:rPr>
          <w:sz w:val="24"/>
        </w:rPr>
        <w:t>EGC</w:t>
      </w:r>
      <w:r>
        <w:rPr>
          <w:spacing w:val="-22"/>
          <w:sz w:val="24"/>
        </w:rPr>
        <w:t> 系统设计、安装布置、</w:t>
      </w:r>
      <w:r>
        <w:rPr>
          <w:sz w:val="24"/>
        </w:rPr>
        <w:t>结构加强、接口等方面的基本要求。</w:t>
      </w:r>
    </w:p>
    <w:p>
      <w:pPr>
        <w:pStyle w:val="ListParagraph"/>
        <w:numPr>
          <w:ilvl w:val="2"/>
          <w:numId w:val="3"/>
        </w:numPr>
        <w:tabs>
          <w:tab w:pos="841" w:val="left" w:leader="none"/>
        </w:tabs>
        <w:spacing w:line="364" w:lineRule="auto" w:before="2" w:after="0"/>
        <w:ind w:left="120" w:right="356" w:firstLine="0"/>
        <w:jc w:val="left"/>
        <w:rPr>
          <w:sz w:val="24"/>
        </w:rPr>
      </w:pPr>
      <w:r>
        <w:rPr>
          <w:spacing w:val="-3"/>
          <w:sz w:val="24"/>
        </w:rPr>
        <w:t>船舶建造阶段已预安装的 </w:t>
      </w:r>
      <w:r>
        <w:rPr>
          <w:sz w:val="24"/>
        </w:rPr>
        <w:t>EGC</w:t>
      </w:r>
      <w:r>
        <w:rPr>
          <w:spacing w:val="-6"/>
          <w:sz w:val="24"/>
        </w:rPr>
        <w:t> 系统组成部件</w:t>
      </w:r>
      <w:r>
        <w:rPr>
          <w:sz w:val="24"/>
        </w:rPr>
        <w:t>/</w:t>
      </w:r>
      <w:r>
        <w:rPr>
          <w:spacing w:val="-5"/>
          <w:sz w:val="24"/>
        </w:rPr>
        <w:t>设备，应满足 </w:t>
      </w:r>
      <w:r>
        <w:rPr>
          <w:sz w:val="24"/>
        </w:rPr>
        <w:t>CCS</w:t>
      </w:r>
      <w:r>
        <w:rPr>
          <w:spacing w:val="-4"/>
          <w:sz w:val="24"/>
        </w:rPr>
        <w:t>《船舶废</w:t>
      </w:r>
      <w:r>
        <w:rPr>
          <w:spacing w:val="-10"/>
          <w:sz w:val="24"/>
        </w:rPr>
        <w:t>气清洗系统设计与安装指南》</w:t>
      </w:r>
      <w:r>
        <w:rPr>
          <w:sz w:val="24"/>
        </w:rPr>
        <w:t>（以下简称《EGC</w:t>
      </w:r>
      <w:r>
        <w:rPr>
          <w:spacing w:val="-23"/>
          <w:sz w:val="24"/>
        </w:rPr>
        <w:t> 系统安装指南》</w:t>
      </w:r>
      <w:r>
        <w:rPr>
          <w:sz w:val="24"/>
        </w:rPr>
        <w:t>）的相关要求。</w:t>
      </w:r>
    </w:p>
    <w:p>
      <w:pPr>
        <w:pStyle w:val="ListParagraph"/>
        <w:numPr>
          <w:ilvl w:val="2"/>
          <w:numId w:val="3"/>
        </w:numPr>
        <w:tabs>
          <w:tab w:pos="841" w:val="left" w:leader="none"/>
        </w:tabs>
        <w:spacing w:line="364" w:lineRule="auto" w:before="1" w:after="0"/>
        <w:ind w:left="120" w:right="358" w:firstLine="0"/>
        <w:jc w:val="left"/>
        <w:rPr>
          <w:sz w:val="24"/>
        </w:rPr>
      </w:pPr>
      <w:r>
        <w:rPr>
          <w:spacing w:val="-27"/>
          <w:sz w:val="24"/>
        </w:rPr>
        <w:t>与 </w:t>
      </w:r>
      <w:r>
        <w:rPr>
          <w:sz w:val="24"/>
        </w:rPr>
        <w:t>EGC</w:t>
      </w:r>
      <w:r>
        <w:rPr>
          <w:spacing w:val="-8"/>
          <w:sz w:val="24"/>
        </w:rPr>
        <w:t> 系统共用的常规船舶系统和</w:t>
      </w:r>
      <w:r>
        <w:rPr>
          <w:sz w:val="24"/>
        </w:rPr>
        <w:t>/</w:t>
      </w:r>
      <w:r>
        <w:rPr>
          <w:spacing w:val="-7"/>
          <w:sz w:val="24"/>
        </w:rPr>
        <w:t>或设备，应满足 </w:t>
      </w:r>
      <w:r>
        <w:rPr>
          <w:sz w:val="24"/>
        </w:rPr>
        <w:t>CCS</w:t>
      </w:r>
      <w:r>
        <w:rPr>
          <w:spacing w:val="-10"/>
          <w:sz w:val="24"/>
        </w:rPr>
        <w:t> 船级规范和船旗</w:t>
      </w:r>
      <w:r>
        <w:rPr>
          <w:sz w:val="24"/>
        </w:rPr>
        <w:t>国主管机关的有关规定。</w:t>
      </w:r>
    </w:p>
    <w:p>
      <w:pPr>
        <w:pStyle w:val="BodyText"/>
        <w:spacing w:before="7"/>
        <w:rPr>
          <w:sz w:val="20"/>
        </w:rPr>
      </w:pPr>
    </w:p>
    <w:p>
      <w:pPr>
        <w:pStyle w:val="Heading2"/>
        <w:numPr>
          <w:ilvl w:val="1"/>
          <w:numId w:val="3"/>
        </w:numPr>
        <w:tabs>
          <w:tab w:pos="579" w:val="left" w:leader="none"/>
        </w:tabs>
        <w:spacing w:line="240" w:lineRule="auto" w:before="0" w:after="0"/>
        <w:ind w:left="578" w:right="0" w:hanging="459"/>
        <w:jc w:val="left"/>
      </w:pPr>
      <w:bookmarkStart w:name="_bookmark3" w:id="5"/>
      <w:bookmarkEnd w:id="5"/>
      <w:r>
        <w:rPr>
          <w:b w:val="0"/>
        </w:rPr>
      </w:r>
      <w:bookmarkStart w:name="_bookmark3" w:id="6"/>
      <w:bookmarkEnd w:id="6"/>
      <w:r>
        <w:rPr/>
        <w:t>定义与缩写</w:t>
      </w:r>
    </w:p>
    <w:p>
      <w:pPr>
        <w:pStyle w:val="BodyText"/>
        <w:spacing w:before="10"/>
        <w:rPr>
          <w:b/>
          <w:sz w:val="32"/>
        </w:rPr>
      </w:pPr>
    </w:p>
    <w:p>
      <w:pPr>
        <w:pStyle w:val="ListParagraph"/>
        <w:numPr>
          <w:ilvl w:val="2"/>
          <w:numId w:val="3"/>
        </w:numPr>
        <w:tabs>
          <w:tab w:pos="841" w:val="left" w:leader="none"/>
        </w:tabs>
        <w:spacing w:line="240" w:lineRule="auto" w:before="0" w:after="0"/>
        <w:ind w:left="840" w:right="0" w:hanging="721"/>
        <w:jc w:val="both"/>
        <w:rPr>
          <w:sz w:val="24"/>
        </w:rPr>
      </w:pPr>
      <w:r>
        <w:rPr>
          <w:sz w:val="24"/>
        </w:rPr>
        <w:t>本指南有关定义如下：</w:t>
      </w:r>
    </w:p>
    <w:p>
      <w:pPr>
        <w:pStyle w:val="ListParagraph"/>
        <w:numPr>
          <w:ilvl w:val="0"/>
          <w:numId w:val="4"/>
        </w:numPr>
        <w:tabs>
          <w:tab w:pos="961" w:val="left" w:leader="none"/>
        </w:tabs>
        <w:spacing w:line="364" w:lineRule="auto" w:before="161" w:after="0"/>
        <w:ind w:left="540" w:right="356" w:hanging="420"/>
        <w:jc w:val="both"/>
        <w:rPr>
          <w:sz w:val="24"/>
        </w:rPr>
      </w:pPr>
      <w:r>
        <w:rPr>
          <w:sz w:val="24"/>
        </w:rPr>
        <w:t>EGC</w:t>
      </w:r>
      <w:r>
        <w:rPr>
          <w:spacing w:val="-8"/>
          <w:sz w:val="24"/>
        </w:rPr>
        <w:t> 系统预设：系指船舶设计与建造阶段考虑了 </w:t>
      </w:r>
      <w:r>
        <w:rPr>
          <w:sz w:val="24"/>
        </w:rPr>
        <w:t>EGC</w:t>
      </w:r>
      <w:r>
        <w:rPr>
          <w:spacing w:val="-7"/>
          <w:sz w:val="24"/>
        </w:rPr>
        <w:t> 系统船上应用相关</w:t>
      </w:r>
      <w:r>
        <w:rPr>
          <w:spacing w:val="-5"/>
          <w:sz w:val="24"/>
        </w:rPr>
        <w:t>的设计和布置，并预留了主要设备的安装空间、系统接口等，以适合于将来</w:t>
      </w:r>
      <w:r>
        <w:rPr>
          <w:sz w:val="24"/>
        </w:rPr>
        <w:t>EGC</w:t>
      </w:r>
      <w:r>
        <w:rPr>
          <w:spacing w:val="-9"/>
          <w:sz w:val="24"/>
        </w:rPr>
        <w:t> 系统的安装。</w:t>
      </w:r>
    </w:p>
    <w:p>
      <w:pPr>
        <w:pStyle w:val="ListParagraph"/>
        <w:numPr>
          <w:ilvl w:val="0"/>
          <w:numId w:val="4"/>
        </w:numPr>
        <w:tabs>
          <w:tab w:pos="961" w:val="left" w:leader="none"/>
        </w:tabs>
        <w:spacing w:line="364" w:lineRule="auto" w:before="1" w:after="0"/>
        <w:ind w:left="540" w:right="358" w:hanging="420"/>
        <w:jc w:val="both"/>
        <w:rPr>
          <w:sz w:val="24"/>
        </w:rPr>
      </w:pPr>
      <w:r>
        <w:rPr>
          <w:spacing w:val="-1"/>
          <w:sz w:val="24"/>
        </w:rPr>
        <w:t>干式脱硫系统：系指脱硫剂以颗粒粉末状态与燃油燃烧装置的废气直接</w:t>
      </w:r>
      <w:r>
        <w:rPr>
          <w:spacing w:val="-7"/>
          <w:position w:val="2"/>
          <w:sz w:val="24"/>
        </w:rPr>
        <w:t>接触，脱除废气中 </w:t>
      </w:r>
      <w:r>
        <w:rPr>
          <w:position w:val="2"/>
          <w:sz w:val="24"/>
        </w:rPr>
        <w:t>SO</w:t>
      </w:r>
      <w:r>
        <w:rPr>
          <w:sz w:val="12"/>
        </w:rPr>
        <w:t>x</w:t>
      </w:r>
      <w:r>
        <w:rPr>
          <w:spacing w:val="-29"/>
          <w:sz w:val="12"/>
        </w:rPr>
        <w:t> </w:t>
      </w:r>
      <w:r>
        <w:rPr>
          <w:position w:val="2"/>
          <w:sz w:val="24"/>
        </w:rPr>
        <w:t>的系统。</w:t>
      </w:r>
    </w:p>
    <w:p>
      <w:pPr>
        <w:pStyle w:val="ListParagraph"/>
        <w:numPr>
          <w:ilvl w:val="0"/>
          <w:numId w:val="4"/>
        </w:numPr>
        <w:tabs>
          <w:tab w:pos="961" w:val="left" w:leader="none"/>
        </w:tabs>
        <w:spacing w:line="364" w:lineRule="auto" w:before="2" w:after="0"/>
        <w:ind w:left="540" w:right="354" w:hanging="420"/>
        <w:jc w:val="both"/>
        <w:rPr>
          <w:sz w:val="24"/>
        </w:rPr>
      </w:pPr>
      <w:r>
        <w:rPr>
          <w:spacing w:val="-1"/>
          <w:sz w:val="24"/>
        </w:rPr>
        <w:t>开式废气清洗系统：系指直接采用海水对废气进行清洗脱硫，完成脱硫</w:t>
      </w:r>
      <w:r>
        <w:rPr>
          <w:spacing w:val="-5"/>
          <w:sz w:val="24"/>
        </w:rPr>
        <w:t>后的洗涤水，经专门的水处理装置进行处理，各项指标达到排放标准后直接</w:t>
      </w:r>
      <w:r>
        <w:rPr>
          <w:sz w:val="24"/>
        </w:rPr>
        <w:t>排出舷外的系统。</w:t>
      </w:r>
    </w:p>
    <w:p>
      <w:pPr>
        <w:spacing w:line="487" w:lineRule="auto" w:before="40"/>
        <w:ind w:left="120" w:right="288" w:firstLine="451"/>
        <w:jc w:val="left"/>
        <w:rPr>
          <w:sz w:val="18"/>
        </w:rPr>
      </w:pPr>
      <w:r>
        <w:rPr>
          <w:sz w:val="18"/>
        </w:rPr>
        <w:t>注：洗涤水排放标准见《船舶废气清洗系统试验和检验指南》（以下简称《EGC 系统检验指南》第 8 章的规定。</w:t>
      </w:r>
    </w:p>
    <w:p>
      <w:pPr>
        <w:pStyle w:val="ListParagraph"/>
        <w:numPr>
          <w:ilvl w:val="0"/>
          <w:numId w:val="4"/>
        </w:numPr>
        <w:tabs>
          <w:tab w:pos="960" w:val="left" w:leader="none"/>
          <w:tab w:pos="961" w:val="left" w:leader="none"/>
        </w:tabs>
        <w:spacing w:line="269" w:lineRule="exact" w:before="0" w:after="0"/>
        <w:ind w:left="960" w:right="0" w:hanging="841"/>
        <w:jc w:val="left"/>
        <w:rPr>
          <w:sz w:val="24"/>
        </w:rPr>
      </w:pPr>
      <w:r>
        <w:rPr>
          <w:sz w:val="24"/>
        </w:rPr>
        <w:t>闭式废气清洗系统：系指采用添加了脱硫剂的水溶液对废气进行清洗脱</w:t>
      </w:r>
    </w:p>
    <w:p>
      <w:pPr>
        <w:pStyle w:val="BodyText"/>
        <w:spacing w:line="364" w:lineRule="auto" w:before="161"/>
        <w:ind w:left="540" w:right="325"/>
      </w:pPr>
      <w:r>
        <w:rPr/>
        <w:t>硫，完成脱硫后的洗涤水经脱硫剂补充、补水、冷却等处理过程后，循环进行废气清洗的系统。</w:t>
      </w:r>
    </w:p>
    <w:p>
      <w:pPr>
        <w:pStyle w:val="ListParagraph"/>
        <w:numPr>
          <w:ilvl w:val="0"/>
          <w:numId w:val="4"/>
        </w:numPr>
        <w:tabs>
          <w:tab w:pos="960" w:val="left" w:leader="none"/>
          <w:tab w:pos="961" w:val="left" w:leader="none"/>
        </w:tabs>
        <w:spacing w:line="364" w:lineRule="auto" w:before="1" w:after="0"/>
        <w:ind w:left="540" w:right="353" w:hanging="420"/>
        <w:jc w:val="left"/>
        <w:rPr>
          <w:sz w:val="24"/>
        </w:rPr>
      </w:pPr>
      <w:r>
        <w:rPr>
          <w:sz w:val="24"/>
        </w:rPr>
        <w:t>开式-闭式组合系统：系指将开式和闭式组合起来的系统，在不同海域</w:t>
      </w:r>
      <w:r>
        <w:rPr>
          <w:spacing w:val="-15"/>
          <w:sz w:val="24"/>
        </w:rPr>
        <w:t>/ </w:t>
      </w:r>
      <w:r>
        <w:rPr>
          <w:spacing w:val="-3"/>
          <w:sz w:val="24"/>
        </w:rPr>
        <w:t>水域航行时可根据需要选择运行开式或闭式系统，比如在公海航行时可选择</w:t>
      </w:r>
    </w:p>
    <w:p>
      <w:pPr>
        <w:spacing w:after="0" w:line="364" w:lineRule="auto"/>
        <w:jc w:val="left"/>
        <w:rPr>
          <w:sz w:val="24"/>
        </w:rPr>
        <w:sectPr>
          <w:pgSz w:w="11910" w:h="16840"/>
          <w:pgMar w:header="906" w:footer="1195" w:top="1440" w:bottom="1380" w:left="1680" w:right="1440"/>
        </w:sectPr>
      </w:pPr>
    </w:p>
    <w:p>
      <w:pPr>
        <w:pStyle w:val="BodyText"/>
        <w:spacing w:line="364" w:lineRule="auto" w:before="75"/>
        <w:ind w:left="540" w:right="360"/>
      </w:pPr>
      <w:r>
        <w:rPr/>
        <w:t>开式系统运行，而在洗涤水排放限制区域或淡水水域航行/停泊时，可选择闭式系统运行。</w:t>
      </w:r>
    </w:p>
    <w:p>
      <w:pPr>
        <w:pStyle w:val="ListParagraph"/>
        <w:numPr>
          <w:ilvl w:val="2"/>
          <w:numId w:val="3"/>
        </w:numPr>
        <w:tabs>
          <w:tab w:pos="841" w:val="left" w:leader="none"/>
        </w:tabs>
        <w:spacing w:line="364" w:lineRule="auto" w:before="2" w:after="0"/>
        <w:ind w:left="120" w:right="356" w:firstLine="0"/>
        <w:jc w:val="left"/>
        <w:rPr>
          <w:sz w:val="24"/>
        </w:rPr>
      </w:pPr>
      <w:r>
        <w:rPr>
          <w:spacing w:val="-4"/>
          <w:sz w:val="24"/>
        </w:rPr>
        <w:t>本指南中涉及的其他术语定义、缩写、符号说明，参见《</w:t>
      </w:r>
      <w:r>
        <w:rPr>
          <w:sz w:val="24"/>
        </w:rPr>
        <w:t>EGC</w:t>
      </w:r>
      <w:r>
        <w:rPr>
          <w:spacing w:val="-13"/>
          <w:sz w:val="24"/>
        </w:rPr>
        <w:t> 系统安装指</w:t>
      </w:r>
      <w:r>
        <w:rPr>
          <w:spacing w:val="-16"/>
          <w:sz w:val="24"/>
        </w:rPr>
        <w:t>南》第 </w:t>
      </w:r>
      <w:r>
        <w:rPr>
          <w:sz w:val="24"/>
        </w:rPr>
        <w:t>1</w:t>
      </w:r>
      <w:r>
        <w:rPr>
          <w:spacing w:val="-40"/>
          <w:sz w:val="24"/>
        </w:rPr>
        <w:t> 章 </w:t>
      </w:r>
      <w:r>
        <w:rPr>
          <w:sz w:val="24"/>
        </w:rPr>
        <w:t>1.3</w:t>
      </w:r>
      <w:r>
        <w:rPr>
          <w:spacing w:val="-20"/>
          <w:sz w:val="24"/>
        </w:rPr>
        <w:t> 和《</w:t>
      </w:r>
      <w:r>
        <w:rPr>
          <w:sz w:val="24"/>
        </w:rPr>
        <w:t>EGC</w:t>
      </w:r>
      <w:r>
        <w:rPr>
          <w:spacing w:val="-14"/>
          <w:sz w:val="24"/>
        </w:rPr>
        <w:t> 系统检验指南》第 </w:t>
      </w:r>
      <w:r>
        <w:rPr>
          <w:sz w:val="24"/>
        </w:rPr>
        <w:t>1</w:t>
      </w:r>
      <w:r>
        <w:rPr>
          <w:spacing w:val="-40"/>
          <w:sz w:val="24"/>
        </w:rPr>
        <w:t> 章 </w:t>
      </w:r>
      <w:r>
        <w:rPr>
          <w:sz w:val="24"/>
        </w:rPr>
        <w:t>1.3。</w:t>
      </w:r>
    </w:p>
    <w:p>
      <w:pPr>
        <w:pStyle w:val="BodyText"/>
        <w:spacing w:before="6"/>
        <w:rPr>
          <w:sz w:val="20"/>
        </w:rPr>
      </w:pPr>
    </w:p>
    <w:p>
      <w:pPr>
        <w:pStyle w:val="Heading2"/>
        <w:numPr>
          <w:ilvl w:val="1"/>
          <w:numId w:val="3"/>
        </w:numPr>
        <w:tabs>
          <w:tab w:pos="579" w:val="left" w:leader="none"/>
        </w:tabs>
        <w:spacing w:line="240" w:lineRule="auto" w:before="0" w:after="0"/>
        <w:ind w:left="578" w:right="0" w:hanging="459"/>
        <w:jc w:val="left"/>
      </w:pPr>
      <w:bookmarkStart w:name="_bookmark4" w:id="7"/>
      <w:bookmarkEnd w:id="7"/>
      <w:r>
        <w:rPr>
          <w:b w:val="0"/>
        </w:rPr>
      </w:r>
      <w:bookmarkStart w:name="_bookmark4" w:id="8"/>
      <w:bookmarkEnd w:id="8"/>
      <w:r>
        <w:rPr/>
        <w:t>附加标志</w:t>
      </w:r>
    </w:p>
    <w:p>
      <w:pPr>
        <w:pStyle w:val="BodyText"/>
        <w:spacing w:before="10"/>
        <w:rPr>
          <w:b/>
          <w:sz w:val="32"/>
        </w:rPr>
      </w:pPr>
    </w:p>
    <w:p>
      <w:pPr>
        <w:pStyle w:val="ListParagraph"/>
        <w:numPr>
          <w:ilvl w:val="2"/>
          <w:numId w:val="3"/>
        </w:numPr>
        <w:tabs>
          <w:tab w:pos="841" w:val="left" w:leader="none"/>
        </w:tabs>
        <w:spacing w:line="364" w:lineRule="auto" w:before="0" w:after="0"/>
        <w:ind w:left="120" w:right="356" w:firstLine="0"/>
        <w:jc w:val="left"/>
        <w:rPr>
          <w:sz w:val="24"/>
        </w:rPr>
      </w:pPr>
      <w:r>
        <w:rPr>
          <w:spacing w:val="-7"/>
          <w:sz w:val="24"/>
        </w:rPr>
        <w:t>船舶采用 </w:t>
      </w:r>
      <w:r>
        <w:rPr>
          <w:sz w:val="24"/>
        </w:rPr>
        <w:t>EGC</w:t>
      </w:r>
      <w:r>
        <w:rPr>
          <w:spacing w:val="-6"/>
          <w:sz w:val="24"/>
        </w:rPr>
        <w:t> 系统预设方案，经船东或船厂</w:t>
      </w:r>
      <w:r>
        <w:rPr>
          <w:sz w:val="24"/>
        </w:rPr>
        <w:t>/设计单位申请，CCS</w:t>
      </w:r>
      <w:r>
        <w:rPr>
          <w:spacing w:val="-12"/>
          <w:sz w:val="24"/>
        </w:rPr>
        <w:t> 审图检</w:t>
      </w:r>
      <w:r>
        <w:rPr>
          <w:spacing w:val="-8"/>
          <w:sz w:val="24"/>
        </w:rPr>
        <w:t>验合格后可授予 </w:t>
      </w:r>
      <w:r>
        <w:rPr>
          <w:sz w:val="24"/>
        </w:rPr>
        <w:t>EGC Ready（X）附加标志。</w:t>
      </w:r>
    </w:p>
    <w:p>
      <w:pPr>
        <w:pStyle w:val="ListParagraph"/>
        <w:numPr>
          <w:ilvl w:val="2"/>
          <w:numId w:val="3"/>
        </w:numPr>
        <w:tabs>
          <w:tab w:pos="841" w:val="left" w:leader="none"/>
        </w:tabs>
        <w:spacing w:line="240" w:lineRule="auto" w:before="2" w:after="0"/>
        <w:ind w:left="840" w:right="0" w:hanging="721"/>
        <w:jc w:val="left"/>
        <w:rPr>
          <w:sz w:val="24"/>
        </w:rPr>
      </w:pPr>
      <w:r>
        <w:rPr>
          <w:sz w:val="24"/>
        </w:rPr>
        <w:t>EGC Ready（X）</w:t>
      </w:r>
      <w:r>
        <w:rPr>
          <w:spacing w:val="-7"/>
          <w:sz w:val="24"/>
        </w:rPr>
        <w:t>附加标志中，符号 </w:t>
      </w:r>
      <w:r>
        <w:rPr>
          <w:sz w:val="24"/>
        </w:rPr>
        <w:t>X</w:t>
      </w:r>
      <w:r>
        <w:rPr>
          <w:spacing w:val="-30"/>
          <w:sz w:val="24"/>
        </w:rPr>
        <w:t> 代表 </w:t>
      </w:r>
      <w:r>
        <w:rPr>
          <w:sz w:val="24"/>
        </w:rPr>
        <w:t>EGC</w:t>
      </w:r>
      <w:r>
        <w:rPr>
          <w:spacing w:val="-12"/>
          <w:sz w:val="24"/>
        </w:rPr>
        <w:t> 系统类型</w:t>
      </w:r>
      <w:r>
        <w:rPr>
          <w:position w:val="12"/>
          <w:sz w:val="12"/>
        </w:rPr>
        <w:t>①②</w:t>
      </w:r>
      <w:r>
        <w:rPr>
          <w:sz w:val="24"/>
        </w:rPr>
        <w:t>，包括：</w:t>
      </w:r>
    </w:p>
    <w:p>
      <w:pPr>
        <w:pStyle w:val="ListParagraph"/>
        <w:numPr>
          <w:ilvl w:val="0"/>
          <w:numId w:val="5"/>
        </w:numPr>
        <w:tabs>
          <w:tab w:pos="722" w:val="left" w:leader="none"/>
        </w:tabs>
        <w:spacing w:line="240" w:lineRule="auto" w:before="160" w:after="0"/>
        <w:ind w:left="721" w:right="0" w:hanging="602"/>
        <w:jc w:val="left"/>
        <w:rPr>
          <w:sz w:val="24"/>
        </w:rPr>
      </w:pPr>
      <w:r>
        <w:rPr>
          <w:spacing w:val="-5"/>
          <w:sz w:val="24"/>
        </w:rPr>
        <w:t>干式脱硫系统，由大写字母 </w:t>
      </w:r>
      <w:r>
        <w:rPr>
          <w:sz w:val="24"/>
        </w:rPr>
        <w:t>D</w:t>
      </w:r>
      <w:r>
        <w:rPr>
          <w:spacing w:val="-15"/>
          <w:sz w:val="24"/>
        </w:rPr>
        <w:t> 表示；</w:t>
      </w:r>
    </w:p>
    <w:p>
      <w:pPr>
        <w:pStyle w:val="ListParagraph"/>
        <w:numPr>
          <w:ilvl w:val="0"/>
          <w:numId w:val="5"/>
        </w:numPr>
        <w:tabs>
          <w:tab w:pos="722" w:val="left" w:leader="none"/>
        </w:tabs>
        <w:spacing w:line="240" w:lineRule="auto" w:before="161" w:after="0"/>
        <w:ind w:left="721" w:right="0" w:hanging="602"/>
        <w:jc w:val="left"/>
        <w:rPr>
          <w:sz w:val="24"/>
        </w:rPr>
      </w:pPr>
      <w:r>
        <w:rPr>
          <w:spacing w:val="-4"/>
          <w:sz w:val="24"/>
        </w:rPr>
        <w:t>开式废气清洗系统，由大写字母 </w:t>
      </w:r>
      <w:r>
        <w:rPr>
          <w:sz w:val="24"/>
        </w:rPr>
        <w:t>O</w:t>
      </w:r>
      <w:r>
        <w:rPr>
          <w:spacing w:val="-15"/>
          <w:sz w:val="24"/>
        </w:rPr>
        <w:t> 表示；</w:t>
      </w:r>
    </w:p>
    <w:p>
      <w:pPr>
        <w:pStyle w:val="ListParagraph"/>
        <w:numPr>
          <w:ilvl w:val="0"/>
          <w:numId w:val="5"/>
        </w:numPr>
        <w:tabs>
          <w:tab w:pos="722" w:val="left" w:leader="none"/>
        </w:tabs>
        <w:spacing w:line="240" w:lineRule="auto" w:before="160" w:after="0"/>
        <w:ind w:left="721" w:right="0" w:hanging="602"/>
        <w:jc w:val="left"/>
        <w:rPr>
          <w:sz w:val="24"/>
        </w:rPr>
      </w:pPr>
      <w:r>
        <w:rPr>
          <w:spacing w:val="-4"/>
          <w:sz w:val="24"/>
        </w:rPr>
        <w:t>闭式废气清洗系统，由大写字母 </w:t>
      </w:r>
      <w:r>
        <w:rPr>
          <w:sz w:val="24"/>
        </w:rPr>
        <w:t>C</w:t>
      </w:r>
      <w:r>
        <w:rPr>
          <w:spacing w:val="-15"/>
          <w:sz w:val="24"/>
        </w:rPr>
        <w:t> 表示；</w:t>
      </w:r>
    </w:p>
    <w:p>
      <w:pPr>
        <w:pStyle w:val="ListParagraph"/>
        <w:numPr>
          <w:ilvl w:val="0"/>
          <w:numId w:val="5"/>
        </w:numPr>
        <w:tabs>
          <w:tab w:pos="722" w:val="left" w:leader="none"/>
        </w:tabs>
        <w:spacing w:line="240" w:lineRule="auto" w:before="161" w:after="0"/>
        <w:ind w:left="721" w:right="0" w:hanging="602"/>
        <w:jc w:val="left"/>
        <w:rPr>
          <w:sz w:val="24"/>
        </w:rPr>
      </w:pPr>
      <w:r>
        <w:rPr>
          <w:spacing w:val="-4"/>
          <w:sz w:val="24"/>
        </w:rPr>
        <w:t>开式-闭式组合系统，由大写字母 </w:t>
      </w:r>
      <w:r>
        <w:rPr>
          <w:sz w:val="24"/>
        </w:rPr>
        <w:t>H</w:t>
      </w:r>
      <w:r>
        <w:rPr>
          <w:spacing w:val="-15"/>
          <w:sz w:val="24"/>
        </w:rPr>
        <w:t> 表示。</w:t>
      </w:r>
    </w:p>
    <w:p>
      <w:pPr>
        <w:pStyle w:val="BodyText"/>
        <w:spacing w:before="160"/>
        <w:ind w:left="120"/>
      </w:pPr>
      <w:r>
        <w:rPr/>
        <w:t>根据拟安装的 EGC 系统类型，X 应选择上述四种类型中的一个代替。</w:t>
      </w:r>
    </w:p>
    <w:p>
      <w:pPr>
        <w:spacing w:line="487" w:lineRule="auto" w:before="199"/>
        <w:ind w:left="480" w:right="358" w:hanging="360"/>
        <w:jc w:val="left"/>
        <w:rPr>
          <w:sz w:val="18"/>
        </w:rPr>
      </w:pPr>
      <w:r>
        <w:rPr>
          <w:sz w:val="18"/>
        </w:rPr>
        <w:t>注①：船东/船厂/</w:t>
      </w:r>
      <w:r>
        <w:rPr>
          <w:spacing w:val="-7"/>
          <w:sz w:val="18"/>
        </w:rPr>
        <w:t>设计单位 </w:t>
      </w:r>
      <w:r>
        <w:rPr>
          <w:sz w:val="18"/>
        </w:rPr>
        <w:t>EGC</w:t>
      </w:r>
      <w:r>
        <w:rPr>
          <w:spacing w:val="-7"/>
          <w:sz w:val="18"/>
        </w:rPr>
        <w:t> 系统选型时应注意欧盟、美国加利福尼亚等地区法规对脱硫系统及其洗涤</w:t>
      </w:r>
      <w:r>
        <w:rPr>
          <w:sz w:val="18"/>
        </w:rPr>
        <w:t>水排放的特别规定。</w:t>
      </w:r>
    </w:p>
    <w:p>
      <w:pPr>
        <w:spacing w:line="230" w:lineRule="exact" w:before="0"/>
        <w:ind w:left="120" w:right="0" w:firstLine="0"/>
        <w:jc w:val="left"/>
        <w:rPr>
          <w:sz w:val="18"/>
        </w:rPr>
      </w:pPr>
      <w:r>
        <w:rPr>
          <w:sz w:val="18"/>
        </w:rPr>
        <w:t>注②：EGC 系统预设附加标志举例说明如下：</w:t>
      </w:r>
    </w:p>
    <w:p>
      <w:pPr>
        <w:pStyle w:val="BodyText"/>
        <w:spacing w:before="7"/>
        <w:rPr>
          <w:sz w:val="18"/>
        </w:rPr>
      </w:pPr>
    </w:p>
    <w:p>
      <w:pPr>
        <w:spacing w:line="487" w:lineRule="auto" w:before="0"/>
        <w:ind w:left="120" w:right="297" w:firstLine="359"/>
        <w:jc w:val="left"/>
        <w:rPr>
          <w:sz w:val="18"/>
        </w:rPr>
      </w:pPr>
      <w:r>
        <w:rPr>
          <w:sz w:val="18"/>
        </w:rPr>
        <w:t>EGC Ready （H）—表示该船拟安装开式-闭式组合系统， EGC 系统船上安装、设计、布置有关的图纸资料已经审核，主要设备的安装空间、系统接口等已预留，适合将来的船上安装改造。</w:t>
      </w:r>
    </w:p>
    <w:p>
      <w:pPr>
        <w:pStyle w:val="ListParagraph"/>
        <w:numPr>
          <w:ilvl w:val="2"/>
          <w:numId w:val="3"/>
        </w:numPr>
        <w:tabs>
          <w:tab w:pos="793" w:val="left" w:leader="none"/>
        </w:tabs>
        <w:spacing w:line="269" w:lineRule="exact" w:before="0" w:after="0"/>
        <w:ind w:left="792" w:right="0" w:hanging="673"/>
        <w:jc w:val="left"/>
        <w:rPr>
          <w:sz w:val="24"/>
        </w:rPr>
      </w:pPr>
      <w:r>
        <w:rPr>
          <w:sz w:val="24"/>
        </w:rPr>
        <w:t>EGC</w:t>
      </w:r>
      <w:r>
        <w:rPr>
          <w:spacing w:val="-48"/>
          <w:sz w:val="24"/>
        </w:rPr>
        <w:t> </w:t>
      </w:r>
      <w:r>
        <w:rPr>
          <w:sz w:val="24"/>
        </w:rPr>
        <w:t>Ready（X）</w:t>
      </w:r>
      <w:r>
        <w:rPr>
          <w:spacing w:val="-6"/>
          <w:sz w:val="24"/>
        </w:rPr>
        <w:t>附加标志授予后，在 </w:t>
      </w:r>
      <w:r>
        <w:rPr>
          <w:sz w:val="24"/>
        </w:rPr>
        <w:t>EGC</w:t>
      </w:r>
      <w:r>
        <w:rPr>
          <w:spacing w:val="-8"/>
          <w:sz w:val="24"/>
        </w:rPr>
        <w:t> 系统实船安装改造之前，如船舶</w:t>
      </w:r>
    </w:p>
    <w:p>
      <w:pPr>
        <w:pStyle w:val="BodyText"/>
        <w:spacing w:line="364" w:lineRule="auto" w:before="161"/>
        <w:ind w:left="120" w:right="356"/>
      </w:pPr>
      <w:r>
        <w:rPr>
          <w:spacing w:val="-10"/>
        </w:rPr>
        <w:t>进行改装，导致本章 </w:t>
      </w:r>
      <w:r>
        <w:rPr/>
        <w:t>1.4</w:t>
      </w:r>
      <w:r>
        <w:rPr>
          <w:spacing w:val="-12"/>
        </w:rPr>
        <w:t> 规定的图纸资料发生改变，则相关修改图纸需提交 </w:t>
      </w:r>
      <w:r>
        <w:rPr>
          <w:spacing w:val="-6"/>
        </w:rPr>
        <w:t>CCS </w:t>
      </w:r>
      <w:r>
        <w:rPr/>
        <w:t>审查。</w:t>
      </w:r>
    </w:p>
    <w:p>
      <w:pPr>
        <w:pStyle w:val="ListParagraph"/>
        <w:numPr>
          <w:ilvl w:val="2"/>
          <w:numId w:val="3"/>
        </w:numPr>
        <w:tabs>
          <w:tab w:pos="841" w:val="left" w:leader="none"/>
        </w:tabs>
        <w:spacing w:line="364" w:lineRule="auto" w:before="1" w:after="0"/>
        <w:ind w:left="120" w:right="356" w:firstLine="0"/>
        <w:jc w:val="left"/>
        <w:rPr>
          <w:sz w:val="24"/>
        </w:rPr>
      </w:pPr>
      <w:r>
        <w:rPr>
          <w:sz w:val="24"/>
        </w:rPr>
        <w:t>EGC</w:t>
      </w:r>
      <w:r>
        <w:rPr>
          <w:spacing w:val="-11"/>
          <w:sz w:val="24"/>
        </w:rPr>
        <w:t> 系统实船安装改造完成后，经 </w:t>
      </w:r>
      <w:r>
        <w:rPr>
          <w:sz w:val="24"/>
        </w:rPr>
        <w:t>CCS</w:t>
      </w:r>
      <w:r>
        <w:rPr>
          <w:spacing w:val="-13"/>
          <w:sz w:val="24"/>
        </w:rPr>
        <w:t> 检验合格后可授予 </w:t>
      </w:r>
      <w:r>
        <w:rPr>
          <w:sz w:val="24"/>
        </w:rPr>
        <w:t>SEC（EGCS）</w:t>
      </w:r>
      <w:r>
        <w:rPr>
          <w:spacing w:val="-15"/>
          <w:sz w:val="24"/>
        </w:rPr>
        <w:t>附</w:t>
      </w:r>
      <w:r>
        <w:rPr>
          <w:sz w:val="24"/>
        </w:rPr>
        <w:t>加标志，EGC</w:t>
      </w:r>
      <w:r>
        <w:rPr>
          <w:spacing w:val="-1"/>
          <w:sz w:val="24"/>
        </w:rPr>
        <w:t> </w:t>
      </w:r>
      <w:r>
        <w:rPr>
          <w:sz w:val="24"/>
        </w:rPr>
        <w:t>Ready（X）附加标志应予以撤回。</w:t>
      </w:r>
    </w:p>
    <w:p>
      <w:pPr>
        <w:pStyle w:val="BodyText"/>
        <w:spacing w:before="7"/>
        <w:rPr>
          <w:sz w:val="20"/>
        </w:rPr>
      </w:pPr>
    </w:p>
    <w:p>
      <w:pPr>
        <w:pStyle w:val="Heading2"/>
        <w:numPr>
          <w:ilvl w:val="1"/>
          <w:numId w:val="3"/>
        </w:numPr>
        <w:tabs>
          <w:tab w:pos="579" w:val="left" w:leader="none"/>
        </w:tabs>
        <w:spacing w:line="240" w:lineRule="auto" w:before="0" w:after="0"/>
        <w:ind w:left="578" w:right="0" w:hanging="459"/>
        <w:jc w:val="left"/>
      </w:pPr>
      <w:bookmarkStart w:name="_bookmark5" w:id="9"/>
      <w:bookmarkEnd w:id="9"/>
      <w:r>
        <w:rPr>
          <w:b w:val="0"/>
        </w:rPr>
      </w:r>
      <w:bookmarkStart w:name="_bookmark5" w:id="10"/>
      <w:bookmarkEnd w:id="10"/>
      <w:r>
        <w:rPr/>
        <w:t>图纸资料</w:t>
      </w:r>
    </w:p>
    <w:p>
      <w:pPr>
        <w:pStyle w:val="BodyText"/>
        <w:spacing w:before="7"/>
        <w:rPr>
          <w:b/>
          <w:sz w:val="32"/>
        </w:rPr>
      </w:pPr>
    </w:p>
    <w:p>
      <w:pPr>
        <w:pStyle w:val="ListParagraph"/>
        <w:numPr>
          <w:ilvl w:val="2"/>
          <w:numId w:val="3"/>
        </w:numPr>
        <w:tabs>
          <w:tab w:pos="781" w:val="left" w:leader="none"/>
        </w:tabs>
        <w:spacing w:line="240" w:lineRule="auto" w:before="0" w:after="0"/>
        <w:ind w:left="780" w:right="0" w:hanging="661"/>
        <w:jc w:val="left"/>
        <w:rPr>
          <w:sz w:val="24"/>
        </w:rPr>
      </w:pPr>
      <w:r>
        <w:rPr>
          <w:spacing w:val="-10"/>
          <w:sz w:val="24"/>
        </w:rPr>
        <w:t>应提交如下 </w:t>
      </w:r>
      <w:r>
        <w:rPr>
          <w:sz w:val="24"/>
        </w:rPr>
        <w:t>EGC</w:t>
      </w:r>
      <w:r>
        <w:rPr>
          <w:spacing w:val="-8"/>
          <w:sz w:val="24"/>
        </w:rPr>
        <w:t> 系统预设有关的图纸资料：</w:t>
      </w:r>
    </w:p>
    <w:p>
      <w:pPr>
        <w:pStyle w:val="ListParagraph"/>
        <w:numPr>
          <w:ilvl w:val="0"/>
          <w:numId w:val="6"/>
        </w:numPr>
        <w:tabs>
          <w:tab w:pos="960" w:val="left" w:leader="none"/>
          <w:tab w:pos="961" w:val="left" w:leader="none"/>
        </w:tabs>
        <w:spacing w:line="364" w:lineRule="auto" w:before="161" w:after="0"/>
        <w:ind w:left="540" w:right="353" w:hanging="420"/>
        <w:jc w:val="left"/>
        <w:rPr>
          <w:sz w:val="24"/>
        </w:rPr>
      </w:pPr>
      <w:r>
        <w:rPr>
          <w:sz w:val="24"/>
        </w:rPr>
        <w:t>EGC</w:t>
      </w:r>
      <w:r>
        <w:rPr>
          <w:spacing w:val="4"/>
          <w:sz w:val="24"/>
        </w:rPr>
        <w:t> 系统预设说明书，包括工作原理与工作过程、船上安装方式、</w:t>
      </w:r>
      <w:r>
        <w:rPr>
          <w:sz w:val="24"/>
        </w:rPr>
        <w:t>EGC </w:t>
      </w:r>
      <w:r>
        <w:rPr>
          <w:spacing w:val="-1"/>
          <w:sz w:val="24"/>
        </w:rPr>
        <w:t>系统主要性能规格、</w:t>
      </w:r>
      <w:r>
        <w:rPr>
          <w:sz w:val="24"/>
        </w:rPr>
        <w:t>EGC</w:t>
      </w:r>
      <w:r>
        <w:rPr>
          <w:spacing w:val="-10"/>
          <w:sz w:val="24"/>
        </w:rPr>
        <w:t> 系统处理能力</w:t>
      </w:r>
      <w:r>
        <w:rPr>
          <w:sz w:val="24"/>
        </w:rPr>
        <w:t>（</w:t>
      </w:r>
      <w:r>
        <w:rPr>
          <w:spacing w:val="-2"/>
          <w:sz w:val="24"/>
        </w:rPr>
        <w:t>包括废气、洗涤水</w:t>
      </w:r>
      <w:r>
        <w:rPr>
          <w:spacing w:val="-120"/>
          <w:sz w:val="24"/>
        </w:rPr>
        <w:t>）</w:t>
      </w:r>
      <w:r>
        <w:rPr>
          <w:spacing w:val="-10"/>
          <w:sz w:val="24"/>
        </w:rPr>
        <w:t>、</w:t>
      </w:r>
      <w:r>
        <w:rPr>
          <w:sz w:val="24"/>
        </w:rPr>
        <w:t>EGC</w:t>
      </w:r>
      <w:r>
        <w:rPr>
          <w:spacing w:val="-15"/>
          <w:sz w:val="24"/>
        </w:rPr>
        <w:t> 系统与燃</w:t>
      </w:r>
    </w:p>
    <w:p>
      <w:pPr>
        <w:spacing w:after="0" w:line="364" w:lineRule="auto"/>
        <w:jc w:val="left"/>
        <w:rPr>
          <w:sz w:val="24"/>
        </w:rPr>
        <w:sectPr>
          <w:pgSz w:w="11910" w:h="16840"/>
          <w:pgMar w:header="906" w:footer="1195" w:top="1440" w:bottom="1380" w:left="1680" w:right="1440"/>
        </w:sectPr>
      </w:pPr>
    </w:p>
    <w:p>
      <w:pPr>
        <w:pStyle w:val="BodyText"/>
        <w:spacing w:before="75"/>
        <w:ind w:left="540"/>
      </w:pPr>
      <w:r>
        <w:rPr/>
        <w:t>油燃烧装置匹配等；</w:t>
      </w:r>
    </w:p>
    <w:p>
      <w:pPr>
        <w:pStyle w:val="ListParagraph"/>
        <w:numPr>
          <w:ilvl w:val="0"/>
          <w:numId w:val="6"/>
        </w:numPr>
        <w:tabs>
          <w:tab w:pos="960" w:val="left" w:leader="none"/>
          <w:tab w:pos="961" w:val="left" w:leader="none"/>
        </w:tabs>
        <w:spacing w:line="364" w:lineRule="auto" w:before="161" w:after="0"/>
        <w:ind w:left="540" w:right="356" w:hanging="420"/>
        <w:jc w:val="left"/>
        <w:rPr>
          <w:sz w:val="24"/>
        </w:rPr>
      </w:pPr>
      <w:r>
        <w:rPr>
          <w:sz w:val="24"/>
        </w:rPr>
        <w:t>脱硫剂（如系统需要</w:t>
      </w:r>
      <w:r>
        <w:rPr>
          <w:spacing w:val="3"/>
          <w:sz w:val="24"/>
        </w:rPr>
        <w:t>）</w:t>
      </w:r>
      <w:r>
        <w:rPr>
          <w:spacing w:val="-1"/>
          <w:sz w:val="24"/>
        </w:rPr>
        <w:t>资料，包括其腐蚀、毒性、易燃、化学反应等， </w:t>
      </w:r>
      <w:r>
        <w:rPr>
          <w:sz w:val="24"/>
        </w:rPr>
        <w:t>以及其储存、驳运、处理、使用时的相关限制条件；</w:t>
      </w:r>
    </w:p>
    <w:p>
      <w:pPr>
        <w:pStyle w:val="ListParagraph"/>
        <w:numPr>
          <w:ilvl w:val="0"/>
          <w:numId w:val="6"/>
        </w:numPr>
        <w:tabs>
          <w:tab w:pos="960" w:val="left" w:leader="none"/>
          <w:tab w:pos="961" w:val="left" w:leader="none"/>
        </w:tabs>
        <w:spacing w:line="240" w:lineRule="auto" w:before="1" w:after="0"/>
        <w:ind w:left="960" w:right="0" w:hanging="841"/>
        <w:jc w:val="left"/>
        <w:rPr>
          <w:sz w:val="24"/>
        </w:rPr>
      </w:pPr>
      <w:r>
        <w:rPr>
          <w:sz w:val="24"/>
        </w:rPr>
        <w:t>EGC</w:t>
      </w:r>
      <w:r>
        <w:rPr>
          <w:spacing w:val="-12"/>
          <w:sz w:val="24"/>
        </w:rPr>
        <w:t> 系统相关设备布置图，包括 </w:t>
      </w:r>
      <w:r>
        <w:rPr>
          <w:sz w:val="24"/>
        </w:rPr>
        <w:t>EGC</w:t>
      </w:r>
      <w:r>
        <w:rPr>
          <w:spacing w:val="-8"/>
          <w:sz w:val="24"/>
        </w:rPr>
        <w:t> 系统有关的设备清单；</w:t>
      </w:r>
    </w:p>
    <w:p>
      <w:pPr>
        <w:pStyle w:val="ListParagraph"/>
        <w:numPr>
          <w:ilvl w:val="0"/>
          <w:numId w:val="6"/>
        </w:numPr>
        <w:tabs>
          <w:tab w:pos="960" w:val="left" w:leader="none"/>
          <w:tab w:pos="961" w:val="left" w:leader="none"/>
        </w:tabs>
        <w:spacing w:line="240" w:lineRule="auto" w:before="161" w:after="0"/>
        <w:ind w:left="960" w:right="0" w:hanging="841"/>
        <w:jc w:val="left"/>
        <w:rPr>
          <w:sz w:val="24"/>
        </w:rPr>
      </w:pPr>
      <w:r>
        <w:rPr>
          <w:sz w:val="24"/>
        </w:rPr>
        <w:t>脱硫剂储存舱/柜布置图、结构图及相关计算书，包括舱容计算；</w:t>
      </w:r>
    </w:p>
    <w:p>
      <w:pPr>
        <w:pStyle w:val="ListParagraph"/>
        <w:numPr>
          <w:ilvl w:val="0"/>
          <w:numId w:val="6"/>
        </w:numPr>
        <w:tabs>
          <w:tab w:pos="960" w:val="left" w:leader="none"/>
          <w:tab w:pos="961" w:val="left" w:leader="none"/>
        </w:tabs>
        <w:spacing w:line="364" w:lineRule="auto" w:before="160" w:after="0"/>
        <w:ind w:left="540" w:right="361" w:hanging="420"/>
        <w:jc w:val="left"/>
        <w:rPr>
          <w:sz w:val="24"/>
        </w:rPr>
      </w:pPr>
      <w:r>
        <w:rPr>
          <w:spacing w:val="-5"/>
          <w:sz w:val="24"/>
        </w:rPr>
        <w:t>脱硫塔安装布置图，包括排气汇集装置</w:t>
      </w:r>
      <w:r>
        <w:rPr>
          <w:sz w:val="24"/>
        </w:rPr>
        <w:t>（如适用</w:t>
      </w:r>
      <w:r>
        <w:rPr>
          <w:spacing w:val="-120"/>
          <w:sz w:val="24"/>
        </w:rPr>
        <w:t>）</w:t>
      </w:r>
      <w:r>
        <w:rPr>
          <w:spacing w:val="-8"/>
          <w:sz w:val="24"/>
        </w:rPr>
        <w:t>、旁通与隔离装置</w:t>
      </w:r>
      <w:r>
        <w:rPr>
          <w:sz w:val="24"/>
        </w:rPr>
        <w:t>（</w:t>
      </w:r>
      <w:r>
        <w:rPr>
          <w:spacing w:val="-19"/>
          <w:sz w:val="24"/>
        </w:rPr>
        <w:t>如</w:t>
      </w:r>
      <w:r>
        <w:rPr>
          <w:sz w:val="24"/>
        </w:rPr>
        <w:t>安装</w:t>
      </w:r>
      <w:r>
        <w:rPr>
          <w:spacing w:val="-120"/>
          <w:sz w:val="24"/>
        </w:rPr>
        <w:t>）</w:t>
      </w:r>
      <w:r>
        <w:rPr>
          <w:sz w:val="24"/>
        </w:rPr>
        <w:t>；</w:t>
      </w:r>
    </w:p>
    <w:p>
      <w:pPr>
        <w:pStyle w:val="ListParagraph"/>
        <w:numPr>
          <w:ilvl w:val="0"/>
          <w:numId w:val="6"/>
        </w:numPr>
        <w:tabs>
          <w:tab w:pos="960" w:val="left" w:leader="none"/>
          <w:tab w:pos="961" w:val="left" w:leader="none"/>
        </w:tabs>
        <w:spacing w:line="240" w:lineRule="auto" w:before="2" w:after="0"/>
        <w:ind w:left="960" w:right="0" w:hanging="841"/>
        <w:jc w:val="left"/>
        <w:rPr>
          <w:sz w:val="24"/>
        </w:rPr>
      </w:pPr>
      <w:r>
        <w:rPr>
          <w:sz w:val="24"/>
        </w:rPr>
        <w:t>脱硫塔安装支撑结构图、局部强度及振动评估计算书；</w:t>
      </w:r>
    </w:p>
    <w:p>
      <w:pPr>
        <w:pStyle w:val="ListParagraph"/>
        <w:numPr>
          <w:ilvl w:val="0"/>
          <w:numId w:val="6"/>
        </w:numPr>
        <w:tabs>
          <w:tab w:pos="960" w:val="left" w:leader="none"/>
          <w:tab w:pos="961" w:val="left" w:leader="none"/>
        </w:tabs>
        <w:spacing w:line="240" w:lineRule="auto" w:before="160" w:after="0"/>
        <w:ind w:left="960" w:right="0" w:hanging="841"/>
        <w:jc w:val="left"/>
        <w:rPr>
          <w:sz w:val="24"/>
        </w:rPr>
      </w:pPr>
      <w:r>
        <w:rPr>
          <w:sz w:val="24"/>
        </w:rPr>
        <w:t>EGC</w:t>
      </w:r>
      <w:r>
        <w:rPr>
          <w:spacing w:val="-8"/>
          <w:sz w:val="24"/>
        </w:rPr>
        <w:t> 系统安装后对船舶总纵强度影响的评估资料；</w:t>
      </w:r>
    </w:p>
    <w:p>
      <w:pPr>
        <w:pStyle w:val="ListParagraph"/>
        <w:numPr>
          <w:ilvl w:val="0"/>
          <w:numId w:val="6"/>
        </w:numPr>
        <w:tabs>
          <w:tab w:pos="960" w:val="left" w:leader="none"/>
          <w:tab w:pos="961" w:val="left" w:leader="none"/>
        </w:tabs>
        <w:spacing w:line="240" w:lineRule="auto" w:before="161" w:after="0"/>
        <w:ind w:left="960" w:right="0" w:hanging="841"/>
        <w:jc w:val="left"/>
        <w:rPr>
          <w:sz w:val="24"/>
        </w:rPr>
      </w:pPr>
      <w:r>
        <w:rPr>
          <w:sz w:val="24"/>
        </w:rPr>
        <w:t>脱硫剂加注站的布置（如适用</w:t>
      </w:r>
      <w:r>
        <w:rPr>
          <w:spacing w:val="-120"/>
          <w:sz w:val="24"/>
        </w:rPr>
        <w:t>）</w:t>
      </w:r>
      <w:r>
        <w:rPr>
          <w:sz w:val="24"/>
        </w:rPr>
        <w:t>；</w:t>
      </w:r>
    </w:p>
    <w:p>
      <w:pPr>
        <w:pStyle w:val="ListParagraph"/>
        <w:numPr>
          <w:ilvl w:val="0"/>
          <w:numId w:val="6"/>
        </w:numPr>
        <w:tabs>
          <w:tab w:pos="960" w:val="left" w:leader="none"/>
          <w:tab w:pos="961" w:val="left" w:leader="none"/>
        </w:tabs>
        <w:spacing w:line="240" w:lineRule="auto" w:before="160" w:after="0"/>
        <w:ind w:left="960" w:right="0" w:hanging="841"/>
        <w:jc w:val="left"/>
        <w:rPr>
          <w:sz w:val="24"/>
        </w:rPr>
      </w:pPr>
      <w:r>
        <w:rPr>
          <w:sz w:val="24"/>
        </w:rPr>
        <w:t>脱硫渣处理有关的舱柜/罐布置及相关计算书；</w:t>
      </w:r>
    </w:p>
    <w:p>
      <w:pPr>
        <w:pStyle w:val="ListParagraph"/>
        <w:numPr>
          <w:ilvl w:val="0"/>
          <w:numId w:val="6"/>
        </w:numPr>
        <w:tabs>
          <w:tab w:pos="961" w:val="left" w:leader="none"/>
        </w:tabs>
        <w:spacing w:line="240" w:lineRule="auto" w:before="161" w:after="0"/>
        <w:ind w:left="960" w:right="0" w:hanging="841"/>
        <w:jc w:val="left"/>
        <w:rPr>
          <w:sz w:val="24"/>
        </w:rPr>
      </w:pPr>
      <w:r>
        <w:rPr>
          <w:sz w:val="24"/>
        </w:rPr>
        <w:t>EGC</w:t>
      </w:r>
      <w:r>
        <w:rPr>
          <w:spacing w:val="-8"/>
          <w:sz w:val="24"/>
        </w:rPr>
        <w:t> 系统相关的管系图；</w:t>
      </w:r>
    </w:p>
    <w:p>
      <w:pPr>
        <w:pStyle w:val="ListParagraph"/>
        <w:numPr>
          <w:ilvl w:val="0"/>
          <w:numId w:val="6"/>
        </w:numPr>
        <w:tabs>
          <w:tab w:pos="961" w:val="left" w:leader="none"/>
        </w:tabs>
        <w:spacing w:line="240" w:lineRule="auto" w:before="160" w:after="0"/>
        <w:ind w:left="960" w:right="0" w:hanging="841"/>
        <w:jc w:val="both"/>
        <w:rPr>
          <w:sz w:val="24"/>
        </w:rPr>
      </w:pPr>
      <w:r>
        <w:rPr>
          <w:spacing w:val="-17"/>
          <w:sz w:val="24"/>
        </w:rPr>
        <w:t>电力负荷计算书，包括 </w:t>
      </w:r>
      <w:r>
        <w:rPr>
          <w:sz w:val="24"/>
        </w:rPr>
        <w:t>EGC</w:t>
      </w:r>
      <w:r>
        <w:rPr>
          <w:spacing w:val="-15"/>
          <w:sz w:val="24"/>
        </w:rPr>
        <w:t> 系统相关电气设备的额定功率、运行工况等；</w:t>
      </w:r>
    </w:p>
    <w:p>
      <w:pPr>
        <w:pStyle w:val="ListParagraph"/>
        <w:numPr>
          <w:ilvl w:val="0"/>
          <w:numId w:val="6"/>
        </w:numPr>
        <w:tabs>
          <w:tab w:pos="961" w:val="left" w:leader="none"/>
        </w:tabs>
        <w:spacing w:line="364" w:lineRule="auto" w:before="161" w:after="0"/>
        <w:ind w:left="540" w:right="356" w:hanging="420"/>
        <w:jc w:val="both"/>
        <w:rPr>
          <w:sz w:val="24"/>
        </w:rPr>
      </w:pPr>
      <w:r>
        <w:rPr>
          <w:sz w:val="24"/>
        </w:rPr>
        <w:t>EGC</w:t>
      </w:r>
      <w:r>
        <w:rPr>
          <w:spacing w:val="-8"/>
          <w:sz w:val="24"/>
        </w:rPr>
        <w:t> 系统相关的电力系统图和主配电板单线图，包括 </w:t>
      </w:r>
      <w:r>
        <w:rPr>
          <w:sz w:val="24"/>
        </w:rPr>
        <w:t>EGC</w:t>
      </w:r>
      <w:r>
        <w:rPr>
          <w:spacing w:val="-8"/>
          <w:sz w:val="24"/>
        </w:rPr>
        <w:t> 系统相关电气</w:t>
      </w:r>
      <w:r>
        <w:rPr>
          <w:sz w:val="24"/>
        </w:rPr>
        <w:t>设备的供电开关参数、电缆型号和截面积等；</w:t>
      </w:r>
    </w:p>
    <w:p>
      <w:pPr>
        <w:pStyle w:val="ListParagraph"/>
        <w:numPr>
          <w:ilvl w:val="0"/>
          <w:numId w:val="6"/>
        </w:numPr>
        <w:tabs>
          <w:tab w:pos="961" w:val="left" w:leader="none"/>
        </w:tabs>
        <w:spacing w:line="364" w:lineRule="auto" w:before="1" w:after="0"/>
        <w:ind w:left="540" w:right="356" w:hanging="420"/>
        <w:jc w:val="both"/>
        <w:rPr>
          <w:sz w:val="24"/>
        </w:rPr>
      </w:pPr>
      <w:r>
        <w:rPr>
          <w:sz w:val="24"/>
        </w:rPr>
        <w:t>EGC</w:t>
      </w:r>
      <w:r>
        <w:rPr>
          <w:spacing w:val="-8"/>
          <w:sz w:val="24"/>
        </w:rPr>
        <w:t> 系统相关的电力设备布置图，包括 </w:t>
      </w:r>
      <w:r>
        <w:rPr>
          <w:sz w:val="24"/>
        </w:rPr>
        <w:t>EGC</w:t>
      </w:r>
      <w:r>
        <w:rPr>
          <w:spacing w:val="-7"/>
          <w:sz w:val="24"/>
        </w:rPr>
        <w:t> 系统控制箱柜、泵、风机、</w:t>
      </w:r>
      <w:r>
        <w:rPr>
          <w:sz w:val="24"/>
        </w:rPr>
        <w:t>紧急停机装置等；</w:t>
      </w:r>
    </w:p>
    <w:p>
      <w:pPr>
        <w:pStyle w:val="ListParagraph"/>
        <w:numPr>
          <w:ilvl w:val="0"/>
          <w:numId w:val="6"/>
        </w:numPr>
        <w:tabs>
          <w:tab w:pos="961" w:val="left" w:leader="none"/>
        </w:tabs>
        <w:spacing w:line="364" w:lineRule="auto" w:before="2" w:after="0"/>
        <w:ind w:left="540" w:right="356" w:hanging="420"/>
        <w:jc w:val="both"/>
        <w:rPr>
          <w:sz w:val="24"/>
        </w:rPr>
      </w:pPr>
      <w:r>
        <w:rPr>
          <w:sz w:val="24"/>
        </w:rPr>
        <w:t>EGC</w:t>
      </w:r>
      <w:r>
        <w:rPr>
          <w:spacing w:val="-8"/>
          <w:sz w:val="24"/>
        </w:rPr>
        <w:t> 系统预设相关的稳性计算资料，包括 </w:t>
      </w:r>
      <w:r>
        <w:rPr>
          <w:sz w:val="24"/>
        </w:rPr>
        <w:t>EGC</w:t>
      </w:r>
      <w:r>
        <w:rPr>
          <w:spacing w:val="-7"/>
          <w:sz w:val="24"/>
        </w:rPr>
        <w:t> 系统及其相关船体结构重</w:t>
      </w:r>
      <w:r>
        <w:rPr>
          <w:sz w:val="24"/>
        </w:rPr>
        <w:t>量重心估算书、舱容图/表（如适用</w:t>
      </w:r>
      <w:r>
        <w:rPr>
          <w:spacing w:val="-118"/>
          <w:sz w:val="24"/>
        </w:rPr>
        <w:t>）</w:t>
      </w:r>
      <w:r>
        <w:rPr>
          <w:sz w:val="24"/>
        </w:rPr>
        <w:t>、装载工况计算（如适用</w:t>
      </w:r>
      <w:r>
        <w:rPr>
          <w:spacing w:val="-118"/>
          <w:sz w:val="24"/>
        </w:rPr>
        <w:t>）</w:t>
      </w:r>
      <w:r>
        <w:rPr>
          <w:sz w:val="24"/>
        </w:rPr>
        <w:t>、破损稳性计算书（如适用</w:t>
      </w:r>
      <w:r>
        <w:rPr>
          <w:spacing w:val="-120"/>
          <w:sz w:val="24"/>
        </w:rPr>
        <w:t>）</w:t>
      </w:r>
      <w:r>
        <w:rPr>
          <w:sz w:val="24"/>
        </w:rPr>
        <w:t>、吨位计算书（如适用</w:t>
      </w:r>
      <w:r>
        <w:rPr>
          <w:spacing w:val="-120"/>
          <w:sz w:val="24"/>
        </w:rPr>
        <w:t>）</w:t>
      </w:r>
      <w:r>
        <w:rPr>
          <w:sz w:val="24"/>
        </w:rPr>
        <w:t>；</w:t>
      </w:r>
    </w:p>
    <w:p>
      <w:pPr>
        <w:pStyle w:val="ListParagraph"/>
        <w:numPr>
          <w:ilvl w:val="0"/>
          <w:numId w:val="6"/>
        </w:numPr>
        <w:tabs>
          <w:tab w:pos="961" w:val="left" w:leader="none"/>
        </w:tabs>
        <w:spacing w:line="240" w:lineRule="auto" w:before="1" w:after="0"/>
        <w:ind w:left="960" w:right="0" w:hanging="841"/>
        <w:jc w:val="both"/>
        <w:rPr>
          <w:sz w:val="24"/>
        </w:rPr>
      </w:pPr>
      <w:r>
        <w:rPr>
          <w:sz w:val="24"/>
        </w:rPr>
        <w:t>受船舶吨位变化影响的其他法定图纸资料（如适用</w:t>
      </w:r>
      <w:r>
        <w:rPr>
          <w:spacing w:val="-120"/>
          <w:sz w:val="24"/>
        </w:rPr>
        <w:t>）</w:t>
      </w:r>
      <w:r>
        <w:rPr>
          <w:sz w:val="24"/>
        </w:rPr>
        <w:t>。</w:t>
      </w:r>
    </w:p>
    <w:p>
      <w:pPr>
        <w:pStyle w:val="ListParagraph"/>
        <w:numPr>
          <w:ilvl w:val="0"/>
          <w:numId w:val="6"/>
        </w:numPr>
        <w:tabs>
          <w:tab w:pos="961" w:val="left" w:leader="none"/>
        </w:tabs>
        <w:spacing w:line="240" w:lineRule="auto" w:before="162" w:after="0"/>
        <w:ind w:left="960" w:right="0" w:hanging="841"/>
        <w:jc w:val="left"/>
        <w:rPr>
          <w:sz w:val="24"/>
        </w:rPr>
      </w:pPr>
      <w:r>
        <w:rPr>
          <w:sz w:val="24"/>
        </w:rPr>
        <w:t>其他必要的图纸资料。</w:t>
      </w:r>
    </w:p>
    <w:p>
      <w:pPr>
        <w:pStyle w:val="ListParagraph"/>
        <w:numPr>
          <w:ilvl w:val="2"/>
          <w:numId w:val="3"/>
        </w:numPr>
        <w:tabs>
          <w:tab w:pos="841" w:val="left" w:leader="none"/>
        </w:tabs>
        <w:spacing w:line="364" w:lineRule="auto" w:before="160" w:after="0"/>
        <w:ind w:left="120" w:right="358" w:firstLine="0"/>
        <w:jc w:val="left"/>
        <w:rPr>
          <w:sz w:val="24"/>
        </w:rPr>
      </w:pPr>
      <w:r>
        <w:rPr>
          <w:spacing w:val="-24"/>
          <w:sz w:val="24"/>
        </w:rPr>
        <w:t>与 </w:t>
      </w:r>
      <w:r>
        <w:rPr>
          <w:sz w:val="24"/>
        </w:rPr>
        <w:t>EGC</w:t>
      </w:r>
      <w:r>
        <w:rPr>
          <w:spacing w:val="-7"/>
          <w:sz w:val="24"/>
        </w:rPr>
        <w:t> 系统共用的常规船舶系统和</w:t>
      </w:r>
      <w:r>
        <w:rPr>
          <w:sz w:val="24"/>
        </w:rPr>
        <w:t>/</w:t>
      </w:r>
      <w:r>
        <w:rPr>
          <w:spacing w:val="-2"/>
          <w:sz w:val="24"/>
        </w:rPr>
        <w:t>或设备相关的图纸资料，应按船级要</w:t>
      </w:r>
      <w:r>
        <w:rPr>
          <w:sz w:val="24"/>
        </w:rPr>
        <w:t>求进行审图和检验。</w:t>
      </w:r>
    </w:p>
    <w:p>
      <w:pPr>
        <w:pStyle w:val="ListParagraph"/>
        <w:numPr>
          <w:ilvl w:val="2"/>
          <w:numId w:val="3"/>
        </w:numPr>
        <w:tabs>
          <w:tab w:pos="810" w:val="left" w:leader="none"/>
        </w:tabs>
        <w:spacing w:line="364" w:lineRule="auto" w:before="1" w:after="0"/>
        <w:ind w:left="120" w:right="356" w:firstLine="0"/>
        <w:jc w:val="left"/>
        <w:rPr>
          <w:sz w:val="24"/>
        </w:rPr>
      </w:pPr>
      <w:r>
        <w:rPr>
          <w:spacing w:val="-6"/>
          <w:sz w:val="24"/>
        </w:rPr>
        <w:t>已预安装的 </w:t>
      </w:r>
      <w:r>
        <w:rPr>
          <w:sz w:val="24"/>
        </w:rPr>
        <w:t>EGC</w:t>
      </w:r>
      <w:r>
        <w:rPr>
          <w:spacing w:val="-6"/>
          <w:sz w:val="24"/>
        </w:rPr>
        <w:t> 系统组成部件</w:t>
      </w:r>
      <w:r>
        <w:rPr>
          <w:sz w:val="24"/>
        </w:rPr>
        <w:t>/</w:t>
      </w:r>
      <w:r>
        <w:rPr>
          <w:spacing w:val="-1"/>
          <w:sz w:val="24"/>
        </w:rPr>
        <w:t>设备，应在所提交的图纸资料中予以清晰</w:t>
      </w:r>
      <w:r>
        <w:rPr>
          <w:sz w:val="24"/>
        </w:rPr>
        <w:t>标识（如预设碱液舱、预设洗涤水舷外排出阀等</w:t>
      </w:r>
      <w:r>
        <w:rPr>
          <w:spacing w:val="-120"/>
          <w:sz w:val="24"/>
        </w:rPr>
        <w:t>）</w:t>
      </w:r>
      <w:r>
        <w:rPr>
          <w:sz w:val="24"/>
        </w:rPr>
        <w:t>，并按相关要求进行检验。</w:t>
      </w:r>
    </w:p>
    <w:p>
      <w:pPr>
        <w:spacing w:after="0" w:line="364" w:lineRule="auto"/>
        <w:jc w:val="left"/>
        <w:rPr>
          <w:sz w:val="24"/>
        </w:rPr>
        <w:sectPr>
          <w:pgSz w:w="11910" w:h="16840"/>
          <w:pgMar w:header="906" w:footer="1195" w:top="1440" w:bottom="1380" w:left="1680" w:right="1440"/>
        </w:sectPr>
      </w:pPr>
    </w:p>
    <w:p>
      <w:pPr>
        <w:pStyle w:val="Heading1"/>
        <w:spacing w:before="114"/>
      </w:pPr>
      <w:bookmarkStart w:name="_bookmark6" w:id="11"/>
      <w:bookmarkEnd w:id="11"/>
      <w:r>
        <w:rPr>
          <w:b w:val="0"/>
        </w:rPr>
      </w:r>
      <w:r>
        <w:rPr/>
        <w:t>第 2 章 EGC 系统预设要求</w:t>
      </w:r>
    </w:p>
    <w:p>
      <w:pPr>
        <w:pStyle w:val="BodyText"/>
        <w:spacing w:before="7"/>
        <w:rPr>
          <w:b/>
          <w:sz w:val="41"/>
        </w:rPr>
      </w:pPr>
    </w:p>
    <w:p>
      <w:pPr>
        <w:pStyle w:val="Heading2"/>
        <w:numPr>
          <w:ilvl w:val="1"/>
          <w:numId w:val="7"/>
        </w:numPr>
        <w:tabs>
          <w:tab w:pos="519" w:val="left" w:leader="none"/>
        </w:tabs>
        <w:spacing w:line="240" w:lineRule="auto" w:before="0" w:after="0"/>
        <w:ind w:left="518" w:right="0" w:hanging="399"/>
        <w:jc w:val="both"/>
      </w:pPr>
      <w:bookmarkStart w:name="_bookmark7" w:id="12"/>
      <w:bookmarkEnd w:id="12"/>
      <w:r>
        <w:rPr>
          <w:b w:val="0"/>
        </w:rPr>
      </w:r>
      <w:bookmarkStart w:name="_bookmark7" w:id="13"/>
      <w:bookmarkEnd w:id="13"/>
      <w:r>
        <w:rPr/>
        <w:t>一般要求</w:t>
      </w:r>
    </w:p>
    <w:p>
      <w:pPr>
        <w:pStyle w:val="BodyText"/>
        <w:spacing w:before="9"/>
        <w:rPr>
          <w:b/>
          <w:sz w:val="32"/>
        </w:rPr>
      </w:pPr>
    </w:p>
    <w:p>
      <w:pPr>
        <w:pStyle w:val="ListParagraph"/>
        <w:numPr>
          <w:ilvl w:val="2"/>
          <w:numId w:val="7"/>
        </w:numPr>
        <w:tabs>
          <w:tab w:pos="841" w:val="left" w:leader="none"/>
        </w:tabs>
        <w:spacing w:line="364" w:lineRule="auto" w:before="1" w:after="0"/>
        <w:ind w:left="120" w:right="356" w:firstLine="0"/>
        <w:jc w:val="both"/>
        <w:rPr>
          <w:sz w:val="24"/>
        </w:rPr>
      </w:pPr>
      <w:r>
        <w:rPr>
          <w:spacing w:val="-14"/>
          <w:sz w:val="24"/>
        </w:rPr>
        <w:t>拟采用 </w:t>
      </w:r>
      <w:r>
        <w:rPr>
          <w:sz w:val="24"/>
        </w:rPr>
        <w:t>EGC</w:t>
      </w:r>
      <w:r>
        <w:rPr>
          <w:spacing w:val="-8"/>
          <w:sz w:val="24"/>
        </w:rPr>
        <w:t> 系统预设方案的船舶，船东</w:t>
      </w:r>
      <w:r>
        <w:rPr>
          <w:sz w:val="24"/>
        </w:rPr>
        <w:t>/</w:t>
      </w:r>
      <w:r>
        <w:rPr>
          <w:spacing w:val="-6"/>
          <w:sz w:val="24"/>
        </w:rPr>
        <w:t>设计单位一般应与 </w:t>
      </w:r>
      <w:r>
        <w:rPr>
          <w:sz w:val="24"/>
        </w:rPr>
        <w:t>EGC</w:t>
      </w:r>
      <w:r>
        <w:rPr>
          <w:spacing w:val="-15"/>
          <w:sz w:val="24"/>
        </w:rPr>
        <w:t> 系统制造</w:t>
      </w:r>
      <w:r>
        <w:rPr>
          <w:sz w:val="24"/>
        </w:rPr>
        <w:t>厂/</w:t>
      </w:r>
      <w:r>
        <w:rPr>
          <w:spacing w:val="-7"/>
          <w:sz w:val="24"/>
        </w:rPr>
        <w:t>设计单位共同确定 </w:t>
      </w:r>
      <w:r>
        <w:rPr>
          <w:sz w:val="24"/>
        </w:rPr>
        <w:t>EGC</w:t>
      </w:r>
      <w:r>
        <w:rPr>
          <w:spacing w:val="-8"/>
          <w:sz w:val="24"/>
        </w:rPr>
        <w:t> 系统的选型、船上安装与布置方案。</w:t>
      </w:r>
    </w:p>
    <w:p>
      <w:pPr>
        <w:pStyle w:val="ListParagraph"/>
        <w:numPr>
          <w:ilvl w:val="2"/>
          <w:numId w:val="7"/>
        </w:numPr>
        <w:tabs>
          <w:tab w:pos="807" w:val="left" w:leader="none"/>
        </w:tabs>
        <w:spacing w:line="364" w:lineRule="auto" w:before="1" w:after="0"/>
        <w:ind w:left="120" w:right="357" w:firstLine="0"/>
        <w:jc w:val="both"/>
        <w:rPr>
          <w:sz w:val="24"/>
        </w:rPr>
      </w:pPr>
      <w:r>
        <w:rPr>
          <w:sz w:val="24"/>
        </w:rPr>
        <w:t>EGC</w:t>
      </w:r>
      <w:r>
        <w:rPr>
          <w:spacing w:val="-9"/>
          <w:sz w:val="24"/>
        </w:rPr>
        <w:t> 系统拟使用的脱硫剂应予以明确，相关管系、设备的材料应与其接触</w:t>
      </w:r>
      <w:r>
        <w:rPr>
          <w:sz w:val="24"/>
        </w:rPr>
        <w:t>的介质特性及工作条件相适应。</w:t>
      </w:r>
    </w:p>
    <w:p>
      <w:pPr>
        <w:pStyle w:val="ListParagraph"/>
        <w:numPr>
          <w:ilvl w:val="2"/>
          <w:numId w:val="7"/>
        </w:numPr>
        <w:tabs>
          <w:tab w:pos="781" w:val="left" w:leader="none"/>
        </w:tabs>
        <w:spacing w:line="364" w:lineRule="auto" w:before="2" w:after="0"/>
        <w:ind w:left="120" w:right="356" w:firstLine="0"/>
        <w:jc w:val="both"/>
        <w:rPr>
          <w:sz w:val="24"/>
        </w:rPr>
      </w:pPr>
      <w:r>
        <w:rPr>
          <w:spacing w:val="-4"/>
          <w:sz w:val="24"/>
        </w:rPr>
        <w:t>为保证船舶设计与建造阶段预留的空间、位置、接口等适合将来 </w:t>
      </w:r>
      <w:r>
        <w:rPr>
          <w:sz w:val="24"/>
        </w:rPr>
        <w:t>EGC</w:t>
      </w:r>
      <w:r>
        <w:rPr>
          <w:spacing w:val="-26"/>
          <w:sz w:val="24"/>
        </w:rPr>
        <w:t> 系统</w:t>
      </w:r>
      <w:r>
        <w:rPr>
          <w:spacing w:val="-1"/>
          <w:sz w:val="24"/>
        </w:rPr>
        <w:t>船上安装改造，</w:t>
      </w:r>
      <w:r>
        <w:rPr>
          <w:spacing w:val="-5"/>
          <w:sz w:val="24"/>
        </w:rPr>
        <w:t>EGC</w:t>
      </w:r>
      <w:r>
        <w:rPr>
          <w:spacing w:val="-10"/>
          <w:sz w:val="24"/>
        </w:rPr>
        <w:t> 系统预设方案的制定应基于某设计定型产品，而不是基于原</w:t>
      </w:r>
      <w:r>
        <w:rPr>
          <w:spacing w:val="-9"/>
          <w:sz w:val="24"/>
        </w:rPr>
        <w:t>型产品或者新型设计，除非该设计已通过了有资质的第三方认证。将来 </w:t>
      </w:r>
      <w:r>
        <w:rPr>
          <w:sz w:val="24"/>
        </w:rPr>
        <w:t>EGC</w:t>
      </w:r>
      <w:r>
        <w:rPr>
          <w:spacing w:val="-25"/>
          <w:sz w:val="24"/>
        </w:rPr>
        <w:t> 系统</w:t>
      </w:r>
      <w:r>
        <w:rPr>
          <w:sz w:val="24"/>
        </w:rPr>
        <w:t>船上安装时，可以选择类似的系统代替，并提交替代系统相关的图纸资料。</w:t>
      </w:r>
    </w:p>
    <w:p>
      <w:pPr>
        <w:pStyle w:val="ListParagraph"/>
        <w:numPr>
          <w:ilvl w:val="2"/>
          <w:numId w:val="7"/>
        </w:numPr>
        <w:tabs>
          <w:tab w:pos="841" w:val="left" w:leader="none"/>
        </w:tabs>
        <w:spacing w:line="364" w:lineRule="auto" w:before="1" w:after="0"/>
        <w:ind w:left="120" w:right="356" w:firstLine="0"/>
        <w:jc w:val="both"/>
        <w:rPr>
          <w:sz w:val="24"/>
        </w:rPr>
      </w:pPr>
      <w:r>
        <w:rPr>
          <w:spacing w:val="-15"/>
          <w:position w:val="2"/>
          <w:sz w:val="24"/>
        </w:rPr>
        <w:t>应考虑 </w:t>
      </w:r>
      <w:r>
        <w:rPr>
          <w:position w:val="2"/>
          <w:sz w:val="24"/>
        </w:rPr>
        <w:t>EGC</w:t>
      </w:r>
      <w:r>
        <w:rPr>
          <w:spacing w:val="-16"/>
          <w:position w:val="2"/>
          <w:sz w:val="24"/>
        </w:rPr>
        <w:t> 系统对柴油机 </w:t>
      </w:r>
      <w:r>
        <w:rPr>
          <w:position w:val="2"/>
          <w:sz w:val="24"/>
        </w:rPr>
        <w:t>NO</w:t>
      </w:r>
      <w:r>
        <w:rPr>
          <w:sz w:val="12"/>
        </w:rPr>
        <w:t>x</w:t>
      </w:r>
      <w:r>
        <w:rPr>
          <w:spacing w:val="-29"/>
          <w:sz w:val="12"/>
        </w:rPr>
        <w:t> </w:t>
      </w:r>
      <w:r>
        <w:rPr>
          <w:spacing w:val="-7"/>
          <w:position w:val="2"/>
          <w:sz w:val="24"/>
        </w:rPr>
        <w:t>排放的影响，保证将来 </w:t>
      </w:r>
      <w:r>
        <w:rPr>
          <w:position w:val="2"/>
          <w:sz w:val="24"/>
        </w:rPr>
        <w:t>EGC</w:t>
      </w:r>
      <w:r>
        <w:rPr>
          <w:spacing w:val="-10"/>
          <w:position w:val="2"/>
          <w:sz w:val="24"/>
        </w:rPr>
        <w:t> 系统安装及运行</w:t>
      </w:r>
      <w:r>
        <w:rPr>
          <w:spacing w:val="-5"/>
          <w:sz w:val="24"/>
        </w:rPr>
        <w:t>时，排气背压保持在柴油机 </w:t>
      </w:r>
      <w:r>
        <w:rPr>
          <w:sz w:val="24"/>
        </w:rPr>
        <w:t>NOx</w:t>
      </w:r>
      <w:r>
        <w:rPr>
          <w:spacing w:val="-8"/>
          <w:sz w:val="24"/>
        </w:rPr>
        <w:t> 排放技术案卷规定的范围内。</w:t>
      </w:r>
    </w:p>
    <w:p>
      <w:pPr>
        <w:pStyle w:val="ListParagraph"/>
        <w:numPr>
          <w:ilvl w:val="2"/>
          <w:numId w:val="7"/>
        </w:numPr>
        <w:tabs>
          <w:tab w:pos="841" w:val="left" w:leader="none"/>
        </w:tabs>
        <w:spacing w:line="364" w:lineRule="auto" w:before="2" w:after="0"/>
        <w:ind w:left="120" w:right="356" w:firstLine="0"/>
        <w:jc w:val="both"/>
        <w:rPr>
          <w:sz w:val="24"/>
        </w:rPr>
      </w:pPr>
      <w:r>
        <w:rPr>
          <w:spacing w:val="-6"/>
          <w:sz w:val="24"/>
        </w:rPr>
        <w:t>如船舶废气系统除安装 </w:t>
      </w:r>
      <w:r>
        <w:rPr>
          <w:sz w:val="24"/>
        </w:rPr>
        <w:t>EGC</w:t>
      </w:r>
      <w:r>
        <w:rPr>
          <w:spacing w:val="-15"/>
          <w:sz w:val="24"/>
        </w:rPr>
        <w:t> 系统以外，已经安装或将来拟安装其他后处理</w:t>
      </w:r>
      <w:r>
        <w:rPr>
          <w:sz w:val="24"/>
        </w:rPr>
        <w:t>装置（</w:t>
      </w:r>
      <w:r>
        <w:rPr>
          <w:spacing w:val="-31"/>
          <w:sz w:val="24"/>
        </w:rPr>
        <w:t>如 </w:t>
      </w:r>
      <w:r>
        <w:rPr>
          <w:sz w:val="24"/>
        </w:rPr>
        <w:t>SCR</w:t>
      </w:r>
      <w:r>
        <w:rPr>
          <w:spacing w:val="-120"/>
          <w:sz w:val="24"/>
        </w:rPr>
        <w:t>）</w:t>
      </w:r>
      <w:r>
        <w:rPr>
          <w:spacing w:val="-20"/>
          <w:sz w:val="24"/>
        </w:rPr>
        <w:t>，则 </w:t>
      </w:r>
      <w:r>
        <w:rPr>
          <w:sz w:val="24"/>
        </w:rPr>
        <w:t>EGC</w:t>
      </w:r>
      <w:r>
        <w:rPr>
          <w:spacing w:val="-8"/>
          <w:sz w:val="24"/>
        </w:rPr>
        <w:t> 系统预设时还应考虑这些后处理系统之间的兼容性。</w:t>
      </w:r>
    </w:p>
    <w:p>
      <w:pPr>
        <w:pStyle w:val="ListParagraph"/>
        <w:numPr>
          <w:ilvl w:val="2"/>
          <w:numId w:val="7"/>
        </w:numPr>
        <w:tabs>
          <w:tab w:pos="807" w:val="left" w:leader="none"/>
        </w:tabs>
        <w:spacing w:line="364" w:lineRule="auto" w:before="2" w:after="0"/>
        <w:ind w:left="120" w:right="356" w:firstLine="0"/>
        <w:jc w:val="both"/>
        <w:rPr>
          <w:sz w:val="24"/>
        </w:rPr>
      </w:pPr>
      <w:r>
        <w:rPr>
          <w:sz w:val="24"/>
        </w:rPr>
        <w:t>EGC</w:t>
      </w:r>
      <w:r>
        <w:rPr>
          <w:spacing w:val="-9"/>
          <w:sz w:val="24"/>
        </w:rPr>
        <w:t> 系统预设时，除系统和设备安装布置需要外，还应考虑系统操作、维</w:t>
      </w:r>
      <w:r>
        <w:rPr>
          <w:sz w:val="24"/>
        </w:rPr>
        <w:t>护的需要。</w:t>
      </w:r>
    </w:p>
    <w:p>
      <w:pPr>
        <w:pStyle w:val="ListParagraph"/>
        <w:numPr>
          <w:ilvl w:val="2"/>
          <w:numId w:val="7"/>
        </w:numPr>
        <w:tabs>
          <w:tab w:pos="807" w:val="left" w:leader="none"/>
        </w:tabs>
        <w:spacing w:line="364" w:lineRule="auto" w:before="1" w:after="0"/>
        <w:ind w:left="120" w:right="356" w:firstLine="0"/>
        <w:jc w:val="both"/>
        <w:rPr>
          <w:sz w:val="24"/>
        </w:rPr>
      </w:pPr>
      <w:r>
        <w:rPr>
          <w:sz w:val="24"/>
        </w:rPr>
        <w:t>EGC</w:t>
      </w:r>
      <w:r>
        <w:rPr>
          <w:spacing w:val="-9"/>
          <w:sz w:val="24"/>
        </w:rPr>
        <w:t> 系统船上安装和使用相关的系统和设备，其尺寸、重量、材料、安装</w:t>
      </w:r>
      <w:r>
        <w:rPr>
          <w:sz w:val="24"/>
        </w:rPr>
        <w:t>和布置、连接等信息，应在所提交的图纸资料中予以体现。</w:t>
      </w:r>
    </w:p>
    <w:p>
      <w:pPr>
        <w:pStyle w:val="ListParagraph"/>
        <w:numPr>
          <w:ilvl w:val="2"/>
          <w:numId w:val="7"/>
        </w:numPr>
        <w:tabs>
          <w:tab w:pos="841" w:val="left" w:leader="none"/>
        </w:tabs>
        <w:spacing w:line="240" w:lineRule="auto" w:before="1" w:after="0"/>
        <w:ind w:left="840" w:right="0" w:hanging="721"/>
        <w:jc w:val="both"/>
        <w:rPr>
          <w:sz w:val="24"/>
        </w:rPr>
      </w:pPr>
      <w:r>
        <w:rPr>
          <w:spacing w:val="-15"/>
          <w:sz w:val="24"/>
        </w:rPr>
        <w:t>应考虑 </w:t>
      </w:r>
      <w:r>
        <w:rPr>
          <w:sz w:val="24"/>
        </w:rPr>
        <w:t>EGC</w:t>
      </w:r>
      <w:r>
        <w:rPr>
          <w:spacing w:val="-8"/>
          <w:sz w:val="24"/>
        </w:rPr>
        <w:t> 系统安装后船舶吨位变化对法定适用要求的影响。</w:t>
      </w:r>
    </w:p>
    <w:p>
      <w:pPr>
        <w:pStyle w:val="ListParagraph"/>
        <w:numPr>
          <w:ilvl w:val="2"/>
          <w:numId w:val="7"/>
        </w:numPr>
        <w:tabs>
          <w:tab w:pos="841" w:val="left" w:leader="none"/>
        </w:tabs>
        <w:spacing w:line="240" w:lineRule="auto" w:before="161" w:after="0"/>
        <w:ind w:left="840" w:right="0" w:hanging="721"/>
        <w:jc w:val="both"/>
        <w:rPr>
          <w:sz w:val="24"/>
        </w:rPr>
      </w:pPr>
      <w:r>
        <w:rPr>
          <w:spacing w:val="-10"/>
          <w:sz w:val="24"/>
        </w:rPr>
        <w:t>应考虑将来 </w:t>
      </w:r>
      <w:r>
        <w:rPr>
          <w:sz w:val="24"/>
        </w:rPr>
        <w:t>EGC</w:t>
      </w:r>
      <w:r>
        <w:rPr>
          <w:spacing w:val="-8"/>
          <w:sz w:val="24"/>
        </w:rPr>
        <w:t> 系统完全安装后，对船体总纵强度的影响。</w:t>
      </w:r>
    </w:p>
    <w:p>
      <w:pPr>
        <w:pStyle w:val="BodyText"/>
        <w:spacing w:before="12"/>
        <w:rPr>
          <w:sz w:val="32"/>
        </w:rPr>
      </w:pPr>
    </w:p>
    <w:p>
      <w:pPr>
        <w:pStyle w:val="Heading2"/>
        <w:numPr>
          <w:ilvl w:val="1"/>
          <w:numId w:val="7"/>
        </w:numPr>
        <w:tabs>
          <w:tab w:pos="519" w:val="left" w:leader="none"/>
        </w:tabs>
        <w:spacing w:line="240" w:lineRule="auto" w:before="0" w:after="0"/>
        <w:ind w:left="518" w:right="0" w:hanging="399"/>
        <w:jc w:val="both"/>
      </w:pPr>
      <w:bookmarkStart w:name="_bookmark8" w:id="14"/>
      <w:bookmarkEnd w:id="14"/>
      <w:r>
        <w:rPr>
          <w:b w:val="0"/>
        </w:rPr>
      </w:r>
      <w:bookmarkStart w:name="_bookmark8" w:id="15"/>
      <w:bookmarkEnd w:id="15"/>
      <w:r>
        <w:rPr/>
        <w:t>匹配设计</w:t>
      </w:r>
    </w:p>
    <w:p>
      <w:pPr>
        <w:pStyle w:val="BodyText"/>
        <w:spacing w:before="7"/>
        <w:rPr>
          <w:b/>
          <w:sz w:val="32"/>
        </w:rPr>
      </w:pPr>
    </w:p>
    <w:p>
      <w:pPr>
        <w:pStyle w:val="ListParagraph"/>
        <w:numPr>
          <w:ilvl w:val="2"/>
          <w:numId w:val="7"/>
        </w:numPr>
        <w:tabs>
          <w:tab w:pos="841" w:val="left" w:leader="none"/>
        </w:tabs>
        <w:spacing w:line="364" w:lineRule="auto" w:before="1" w:after="0"/>
        <w:ind w:left="120" w:right="238" w:firstLine="0"/>
        <w:jc w:val="left"/>
        <w:rPr>
          <w:sz w:val="24"/>
        </w:rPr>
      </w:pPr>
      <w:r>
        <w:rPr>
          <w:spacing w:val="-16"/>
          <w:sz w:val="24"/>
        </w:rPr>
        <w:t>制定 </w:t>
      </w:r>
      <w:r>
        <w:rPr>
          <w:sz w:val="24"/>
        </w:rPr>
        <w:t>EGC</w:t>
      </w:r>
      <w:r>
        <w:rPr>
          <w:spacing w:val="-8"/>
          <w:sz w:val="24"/>
        </w:rPr>
        <w:t> 系统预设方案时，应综合考虑指定船舶燃油燃烧装置的废气量、</w:t>
      </w:r>
      <w:r>
        <w:rPr>
          <w:position w:val="2"/>
          <w:sz w:val="24"/>
        </w:rPr>
        <w:t>废气温度、废气压力、SO</w:t>
      </w:r>
      <w:r>
        <w:rPr>
          <w:sz w:val="12"/>
        </w:rPr>
        <w:t>x</w:t>
      </w:r>
      <w:r>
        <w:rPr>
          <w:spacing w:val="-29"/>
          <w:sz w:val="12"/>
        </w:rPr>
        <w:t> </w:t>
      </w:r>
      <w:r>
        <w:rPr>
          <w:spacing w:val="-2"/>
          <w:position w:val="2"/>
          <w:sz w:val="24"/>
        </w:rPr>
        <w:t>浓度、背压等因素，确保拟安装的 </w:t>
      </w:r>
      <w:r>
        <w:rPr>
          <w:position w:val="2"/>
          <w:sz w:val="24"/>
        </w:rPr>
        <w:t>EGC</w:t>
      </w:r>
      <w:r>
        <w:rPr>
          <w:spacing w:val="-6"/>
          <w:position w:val="2"/>
          <w:sz w:val="24"/>
        </w:rPr>
        <w:t> 系统能有效地</w:t>
      </w:r>
      <w:r>
        <w:rPr>
          <w:spacing w:val="-9"/>
          <w:sz w:val="24"/>
        </w:rPr>
        <w:t>处理与其相连燃油燃烧装置各种工况及运行模式下产生的最大废气量。对于船上</w:t>
      </w:r>
      <w:r>
        <w:rPr>
          <w:spacing w:val="-13"/>
          <w:sz w:val="24"/>
        </w:rPr>
        <w:t>多台燃油燃烧装置共用一套 </w:t>
      </w:r>
      <w:r>
        <w:rPr>
          <w:sz w:val="24"/>
        </w:rPr>
        <w:t>EGC</w:t>
      </w:r>
      <w:r>
        <w:rPr>
          <w:spacing w:val="-14"/>
          <w:sz w:val="24"/>
        </w:rPr>
        <w:t> 系统进行废气处理的情况，如实际营运时并非所有与之相连的燃油燃烧装置同时工作，</w:t>
      </w:r>
      <w:r>
        <w:rPr>
          <w:spacing w:val="-9"/>
          <w:sz w:val="24"/>
        </w:rPr>
        <w:t>EGC</w:t>
      </w:r>
      <w:r>
        <w:rPr>
          <w:spacing w:val="-8"/>
          <w:sz w:val="24"/>
        </w:rPr>
        <w:t> 系统的废气处理能力可按实际工作时最大可能的废气排放量之和确定，而不必考虑所有装置同时运行工况。</w:t>
      </w:r>
    </w:p>
    <w:p>
      <w:pPr>
        <w:spacing w:after="0" w:line="364" w:lineRule="auto"/>
        <w:jc w:val="left"/>
        <w:rPr>
          <w:sz w:val="24"/>
        </w:rPr>
        <w:sectPr>
          <w:pgSz w:w="11910" w:h="16840"/>
          <w:pgMar w:header="906" w:footer="1195" w:top="1440" w:bottom="1380" w:left="1680" w:right="1440"/>
        </w:sectPr>
      </w:pPr>
    </w:p>
    <w:p>
      <w:pPr>
        <w:pStyle w:val="Heading2"/>
        <w:numPr>
          <w:ilvl w:val="1"/>
          <w:numId w:val="7"/>
        </w:numPr>
        <w:tabs>
          <w:tab w:pos="579" w:val="left" w:leader="none"/>
        </w:tabs>
        <w:spacing w:line="240" w:lineRule="auto" w:before="78" w:after="0"/>
        <w:ind w:left="578" w:right="0" w:hanging="459"/>
        <w:jc w:val="left"/>
      </w:pPr>
      <w:bookmarkStart w:name="_bookmark9" w:id="16"/>
      <w:bookmarkEnd w:id="16"/>
      <w:r>
        <w:rPr>
          <w:b w:val="0"/>
        </w:rPr>
      </w:r>
      <w:bookmarkStart w:name="_bookmark9" w:id="17"/>
      <w:bookmarkEnd w:id="17"/>
      <w:r>
        <w:rPr/>
        <w:t>排气背压</w:t>
      </w:r>
    </w:p>
    <w:p>
      <w:pPr>
        <w:pStyle w:val="BodyText"/>
        <w:spacing w:before="7"/>
        <w:rPr>
          <w:b/>
          <w:sz w:val="32"/>
        </w:rPr>
      </w:pPr>
    </w:p>
    <w:p>
      <w:pPr>
        <w:pStyle w:val="ListParagraph"/>
        <w:numPr>
          <w:ilvl w:val="2"/>
          <w:numId w:val="7"/>
        </w:numPr>
        <w:tabs>
          <w:tab w:pos="841" w:val="left" w:leader="none"/>
        </w:tabs>
        <w:spacing w:line="364" w:lineRule="auto" w:before="0" w:after="0"/>
        <w:ind w:left="120" w:right="357" w:firstLine="0"/>
        <w:jc w:val="both"/>
        <w:rPr>
          <w:sz w:val="24"/>
        </w:rPr>
      </w:pPr>
      <w:r>
        <w:rPr>
          <w:spacing w:val="-15"/>
          <w:sz w:val="24"/>
        </w:rPr>
        <w:t>应根据 </w:t>
      </w:r>
      <w:r>
        <w:rPr>
          <w:sz w:val="24"/>
        </w:rPr>
        <w:t>EGC</w:t>
      </w:r>
      <w:r>
        <w:rPr>
          <w:spacing w:val="-14"/>
          <w:sz w:val="24"/>
        </w:rPr>
        <w:t> 系统和燃油燃烧装置的连接方式、运行工况，对脱硫塔阻力进</w:t>
      </w:r>
      <w:r>
        <w:rPr>
          <w:spacing w:val="-17"/>
          <w:sz w:val="24"/>
        </w:rPr>
        <w:t>行分析，评估 </w:t>
      </w:r>
      <w:r>
        <w:rPr>
          <w:sz w:val="24"/>
        </w:rPr>
        <w:t>EGC</w:t>
      </w:r>
      <w:r>
        <w:rPr>
          <w:spacing w:val="-12"/>
          <w:sz w:val="24"/>
        </w:rPr>
        <w:t> 系统安装后，所有相连燃油燃烧装置的背压是否都能维持在制</w:t>
      </w:r>
      <w:r>
        <w:rPr>
          <w:spacing w:val="-9"/>
          <w:sz w:val="24"/>
        </w:rPr>
        <w:t>造厂规定的范围内。如船舶废气系统除安装 </w:t>
      </w:r>
      <w:r>
        <w:rPr>
          <w:sz w:val="24"/>
        </w:rPr>
        <w:t>EGC</w:t>
      </w:r>
      <w:r>
        <w:rPr>
          <w:spacing w:val="-12"/>
          <w:sz w:val="24"/>
        </w:rPr>
        <w:t> 系统以外，还安装或将来拟安装</w:t>
      </w:r>
      <w:r>
        <w:rPr>
          <w:sz w:val="24"/>
        </w:rPr>
        <w:t>其他后处理装置（</w:t>
      </w:r>
      <w:r>
        <w:rPr>
          <w:spacing w:val="-30"/>
          <w:sz w:val="24"/>
        </w:rPr>
        <w:t>如 </w:t>
      </w:r>
      <w:r>
        <w:rPr>
          <w:sz w:val="24"/>
        </w:rPr>
        <w:t>SCR</w:t>
      </w:r>
      <w:r>
        <w:rPr>
          <w:spacing w:val="-120"/>
          <w:sz w:val="24"/>
        </w:rPr>
        <w:t>）</w:t>
      </w:r>
      <w:r>
        <w:rPr>
          <w:sz w:val="24"/>
        </w:rPr>
        <w:t>，则背压评估时还需考虑该后处理装置的影响。</w:t>
      </w:r>
    </w:p>
    <w:p>
      <w:pPr>
        <w:pStyle w:val="ListParagraph"/>
        <w:numPr>
          <w:ilvl w:val="2"/>
          <w:numId w:val="7"/>
        </w:numPr>
        <w:tabs>
          <w:tab w:pos="841" w:val="left" w:leader="none"/>
        </w:tabs>
        <w:spacing w:line="364" w:lineRule="auto" w:before="2" w:after="0"/>
        <w:ind w:left="120" w:right="356" w:firstLine="0"/>
        <w:jc w:val="both"/>
        <w:rPr>
          <w:sz w:val="24"/>
        </w:rPr>
      </w:pPr>
      <w:r>
        <w:rPr>
          <w:spacing w:val="-5"/>
          <w:sz w:val="24"/>
        </w:rPr>
        <w:t>如经评估后确定需安装风机以维持相连燃油燃烧装置所需背压，则预设方</w:t>
      </w:r>
      <w:r>
        <w:rPr>
          <w:spacing w:val="-7"/>
          <w:sz w:val="24"/>
        </w:rPr>
        <w:t>案中应明确风机的设置信息，风机的设置应考虑当其失效时，燃油燃烧装置仍能</w:t>
      </w:r>
      <w:r>
        <w:rPr>
          <w:sz w:val="24"/>
        </w:rPr>
        <w:t>持续工作。</w:t>
      </w:r>
    </w:p>
    <w:p>
      <w:pPr>
        <w:pStyle w:val="BodyText"/>
        <w:spacing w:before="8"/>
        <w:rPr>
          <w:sz w:val="20"/>
        </w:rPr>
      </w:pPr>
    </w:p>
    <w:p>
      <w:pPr>
        <w:pStyle w:val="Heading2"/>
        <w:numPr>
          <w:ilvl w:val="1"/>
          <w:numId w:val="7"/>
        </w:numPr>
        <w:tabs>
          <w:tab w:pos="579" w:val="left" w:leader="none"/>
        </w:tabs>
        <w:spacing w:line="240" w:lineRule="auto" w:before="0" w:after="0"/>
        <w:ind w:left="578" w:right="0" w:hanging="459"/>
        <w:jc w:val="both"/>
      </w:pPr>
      <w:bookmarkStart w:name="_bookmark10" w:id="18"/>
      <w:bookmarkEnd w:id="18"/>
      <w:r>
        <w:rPr>
          <w:b w:val="0"/>
        </w:rPr>
      </w:r>
      <w:bookmarkStart w:name="_bookmark10" w:id="19"/>
      <w:bookmarkEnd w:id="19"/>
      <w:r>
        <w:rPr/>
        <w:t>脱硫塔</w:t>
      </w:r>
    </w:p>
    <w:p>
      <w:pPr>
        <w:pStyle w:val="BodyText"/>
        <w:spacing w:before="10"/>
        <w:rPr>
          <w:b/>
          <w:sz w:val="32"/>
        </w:rPr>
      </w:pPr>
    </w:p>
    <w:p>
      <w:pPr>
        <w:pStyle w:val="ListParagraph"/>
        <w:numPr>
          <w:ilvl w:val="2"/>
          <w:numId w:val="7"/>
        </w:numPr>
        <w:tabs>
          <w:tab w:pos="841" w:val="left" w:leader="none"/>
        </w:tabs>
        <w:spacing w:line="364" w:lineRule="auto" w:before="0" w:after="0"/>
        <w:ind w:left="120" w:right="356" w:firstLine="0"/>
        <w:jc w:val="both"/>
        <w:rPr>
          <w:sz w:val="24"/>
        </w:rPr>
      </w:pPr>
      <w:r>
        <w:rPr>
          <w:spacing w:val="-6"/>
          <w:sz w:val="24"/>
        </w:rPr>
        <w:t>应预留足够的空间用于脱硫塔的安装和布置。预留空间除了满足脱硫塔本</w:t>
      </w:r>
      <w:r>
        <w:rPr>
          <w:sz w:val="24"/>
        </w:rPr>
        <w:t>体几何结构需要之外，还应考虑旁通与隔离装置（如设有</w:t>
      </w:r>
      <w:r>
        <w:rPr>
          <w:spacing w:val="-120"/>
          <w:sz w:val="24"/>
        </w:rPr>
        <w:t>）</w:t>
      </w:r>
      <w:r>
        <w:rPr>
          <w:sz w:val="24"/>
        </w:rPr>
        <w:t>、排气汇集装置（如适用）的安装需要以及必要的维护空间。</w:t>
      </w:r>
    </w:p>
    <w:p>
      <w:pPr>
        <w:spacing w:before="40"/>
        <w:ind w:left="120" w:right="0" w:firstLine="0"/>
        <w:jc w:val="left"/>
        <w:rPr>
          <w:sz w:val="18"/>
        </w:rPr>
      </w:pPr>
      <w:r>
        <w:rPr>
          <w:sz w:val="18"/>
        </w:rPr>
        <w:t>注：</w:t>
      </w:r>
    </w:p>
    <w:p>
      <w:pPr>
        <w:pStyle w:val="BodyText"/>
        <w:spacing w:before="7"/>
        <w:rPr>
          <w:sz w:val="18"/>
        </w:rPr>
      </w:pPr>
    </w:p>
    <w:p>
      <w:pPr>
        <w:pStyle w:val="ListParagraph"/>
        <w:numPr>
          <w:ilvl w:val="3"/>
          <w:numId w:val="7"/>
        </w:numPr>
        <w:tabs>
          <w:tab w:pos="1260" w:val="left" w:leader="none"/>
          <w:tab w:pos="1261" w:val="left" w:leader="none"/>
        </w:tabs>
        <w:spacing w:line="240" w:lineRule="auto" w:before="0" w:after="0"/>
        <w:ind w:left="1260" w:right="0" w:hanging="721"/>
        <w:jc w:val="left"/>
        <w:rPr>
          <w:sz w:val="18"/>
        </w:rPr>
      </w:pPr>
      <w:r>
        <w:rPr>
          <w:spacing w:val="-20"/>
          <w:sz w:val="18"/>
        </w:rPr>
        <w:t>如 </w:t>
      </w:r>
      <w:r>
        <w:rPr>
          <w:sz w:val="18"/>
        </w:rPr>
        <w:t>EGC</w:t>
      </w:r>
      <w:r>
        <w:rPr>
          <w:spacing w:val="-7"/>
          <w:sz w:val="18"/>
        </w:rPr>
        <w:t> 停止工作时，脱硫塔及其内部构件无法承受高温排气，需要考虑设旁通与隔离装置。</w:t>
      </w:r>
    </w:p>
    <w:p>
      <w:pPr>
        <w:pStyle w:val="BodyText"/>
        <w:spacing w:before="7"/>
        <w:rPr>
          <w:sz w:val="18"/>
        </w:rPr>
      </w:pPr>
    </w:p>
    <w:p>
      <w:pPr>
        <w:pStyle w:val="ListParagraph"/>
        <w:numPr>
          <w:ilvl w:val="3"/>
          <w:numId w:val="7"/>
        </w:numPr>
        <w:tabs>
          <w:tab w:pos="1260" w:val="left" w:leader="none"/>
          <w:tab w:pos="1261" w:val="left" w:leader="none"/>
        </w:tabs>
        <w:spacing w:line="487" w:lineRule="auto" w:before="0" w:after="0"/>
        <w:ind w:left="1260" w:right="358" w:hanging="720"/>
        <w:jc w:val="left"/>
        <w:rPr>
          <w:sz w:val="18"/>
        </w:rPr>
      </w:pPr>
      <w:r>
        <w:rPr>
          <w:spacing w:val="-4"/>
          <w:sz w:val="18"/>
        </w:rPr>
        <w:t>多台燃油燃烧装置共用一套 </w:t>
      </w:r>
      <w:r>
        <w:rPr>
          <w:sz w:val="18"/>
        </w:rPr>
        <w:t>EGC</w:t>
      </w:r>
      <w:r>
        <w:rPr>
          <w:spacing w:val="-11"/>
          <w:sz w:val="18"/>
        </w:rPr>
        <w:t> 系统进行废气处理时，需要考虑设多台燃油燃烧装置的排气</w:t>
      </w:r>
      <w:r>
        <w:rPr>
          <w:sz w:val="18"/>
        </w:rPr>
        <w:t>汇集装置。另外，为防止废气倒灌至非工作状态的燃油燃烧装置，需要考虑设隔离装置。</w:t>
      </w:r>
    </w:p>
    <w:p>
      <w:pPr>
        <w:pStyle w:val="ListParagraph"/>
        <w:numPr>
          <w:ilvl w:val="2"/>
          <w:numId w:val="7"/>
        </w:numPr>
        <w:tabs>
          <w:tab w:pos="781" w:val="left" w:leader="none"/>
        </w:tabs>
        <w:spacing w:line="269" w:lineRule="exact" w:before="0" w:after="0"/>
        <w:ind w:left="780" w:right="0" w:hanging="661"/>
        <w:jc w:val="both"/>
        <w:rPr>
          <w:sz w:val="24"/>
        </w:rPr>
      </w:pPr>
      <w:r>
        <w:rPr>
          <w:spacing w:val="-3"/>
          <w:sz w:val="24"/>
        </w:rPr>
        <w:t>应对脱硫塔支撑结构强度进行评估，并考虑安装脱硫塔后对现有船体结构</w:t>
      </w:r>
    </w:p>
    <w:p>
      <w:pPr>
        <w:pStyle w:val="BodyText"/>
        <w:spacing w:before="160"/>
        <w:ind w:left="120"/>
      </w:pPr>
      <w:r>
        <w:rPr/>
        <w:t>局部振动产生的影响。经评估后若需加强，则应考虑在船舶建造阶段予以实施。</w:t>
      </w:r>
    </w:p>
    <w:p>
      <w:pPr>
        <w:pStyle w:val="BodyText"/>
        <w:rPr>
          <w:sz w:val="33"/>
        </w:rPr>
      </w:pPr>
    </w:p>
    <w:p>
      <w:pPr>
        <w:pStyle w:val="Heading2"/>
        <w:numPr>
          <w:ilvl w:val="1"/>
          <w:numId w:val="7"/>
        </w:numPr>
        <w:tabs>
          <w:tab w:pos="519" w:val="left" w:leader="none"/>
        </w:tabs>
        <w:spacing w:line="240" w:lineRule="auto" w:before="0" w:after="0"/>
        <w:ind w:left="518" w:right="0" w:hanging="399"/>
        <w:jc w:val="left"/>
      </w:pPr>
      <w:bookmarkStart w:name="_bookmark11" w:id="20"/>
      <w:bookmarkEnd w:id="20"/>
      <w:r>
        <w:rPr>
          <w:b w:val="0"/>
        </w:rPr>
      </w:r>
      <w:bookmarkStart w:name="_bookmark11" w:id="21"/>
      <w:bookmarkEnd w:id="21"/>
      <w:r>
        <w:rPr/>
        <w:t>分舱与稳性</w:t>
      </w:r>
    </w:p>
    <w:p>
      <w:pPr>
        <w:pStyle w:val="BodyText"/>
        <w:spacing w:before="4"/>
        <w:rPr>
          <w:b/>
          <w:sz w:val="30"/>
        </w:rPr>
      </w:pPr>
    </w:p>
    <w:p>
      <w:pPr>
        <w:pStyle w:val="ListParagraph"/>
        <w:numPr>
          <w:ilvl w:val="2"/>
          <w:numId w:val="7"/>
        </w:numPr>
        <w:tabs>
          <w:tab w:pos="728" w:val="left" w:leader="none"/>
        </w:tabs>
        <w:spacing w:line="240" w:lineRule="auto" w:before="1" w:after="0"/>
        <w:ind w:left="727" w:right="0" w:hanging="608"/>
        <w:jc w:val="left"/>
        <w:rPr>
          <w:rFonts w:ascii="Calibri" w:eastAsia="Calibri"/>
          <w:sz w:val="24"/>
        </w:rPr>
      </w:pPr>
      <w:r>
        <w:rPr>
          <w:spacing w:val="-16"/>
          <w:sz w:val="24"/>
        </w:rPr>
        <w:t>应评估 </w:t>
      </w:r>
      <w:r>
        <w:rPr>
          <w:rFonts w:ascii="Calibri" w:eastAsia="Calibri"/>
          <w:sz w:val="24"/>
        </w:rPr>
        <w:t>EGC</w:t>
      </w:r>
      <w:r>
        <w:rPr>
          <w:rFonts w:ascii="Calibri" w:eastAsia="Calibri"/>
          <w:spacing w:val="4"/>
          <w:sz w:val="24"/>
        </w:rPr>
        <w:t> </w:t>
      </w:r>
      <w:r>
        <w:rPr>
          <w:sz w:val="24"/>
        </w:rPr>
        <w:t>系统安装后对空船重量重心的影响。</w:t>
      </w:r>
    </w:p>
    <w:p>
      <w:pPr>
        <w:pStyle w:val="ListParagraph"/>
        <w:numPr>
          <w:ilvl w:val="2"/>
          <w:numId w:val="7"/>
        </w:numPr>
        <w:tabs>
          <w:tab w:pos="670" w:val="left" w:leader="none"/>
        </w:tabs>
        <w:spacing w:line="316" w:lineRule="auto" w:before="98" w:after="0"/>
        <w:ind w:left="120" w:right="356" w:firstLine="0"/>
        <w:jc w:val="both"/>
        <w:rPr>
          <w:rFonts w:ascii="Calibri" w:eastAsia="Calibri"/>
          <w:sz w:val="24"/>
        </w:rPr>
      </w:pPr>
      <w:r>
        <w:rPr>
          <w:spacing w:val="-15"/>
          <w:sz w:val="24"/>
        </w:rPr>
        <w:t>应评估 </w:t>
      </w:r>
      <w:r>
        <w:rPr>
          <w:rFonts w:ascii="Calibri" w:eastAsia="Calibri"/>
          <w:sz w:val="24"/>
        </w:rPr>
        <w:t>EGC</w:t>
      </w:r>
      <w:r>
        <w:rPr>
          <w:rFonts w:ascii="Calibri" w:eastAsia="Calibri"/>
          <w:spacing w:val="6"/>
          <w:sz w:val="24"/>
        </w:rPr>
        <w:t> </w:t>
      </w:r>
      <w:r>
        <w:rPr>
          <w:spacing w:val="-3"/>
          <w:sz w:val="24"/>
        </w:rPr>
        <w:t>系统安装后的船舶分舱与稳性，评估时应考虑 </w:t>
      </w:r>
      <w:r>
        <w:rPr>
          <w:rFonts w:ascii="Calibri" w:eastAsia="Calibri"/>
          <w:sz w:val="24"/>
        </w:rPr>
        <w:t>EGC</w:t>
      </w:r>
      <w:r>
        <w:rPr>
          <w:rFonts w:ascii="Calibri" w:eastAsia="Calibri"/>
          <w:spacing w:val="6"/>
          <w:sz w:val="24"/>
        </w:rPr>
        <w:t> </w:t>
      </w:r>
      <w:r>
        <w:rPr>
          <w:spacing w:val="-3"/>
          <w:sz w:val="24"/>
        </w:rPr>
        <w:t>系统工作状</w:t>
      </w:r>
      <w:r>
        <w:rPr>
          <w:sz w:val="24"/>
        </w:rPr>
        <w:t>态下的重量。</w:t>
      </w:r>
    </w:p>
    <w:p>
      <w:pPr>
        <w:pStyle w:val="BodyText"/>
        <w:spacing w:before="10"/>
        <w:rPr>
          <w:sz w:val="22"/>
        </w:rPr>
      </w:pPr>
    </w:p>
    <w:p>
      <w:pPr>
        <w:pStyle w:val="Heading2"/>
        <w:numPr>
          <w:ilvl w:val="1"/>
          <w:numId w:val="7"/>
        </w:numPr>
        <w:tabs>
          <w:tab w:pos="579" w:val="left" w:leader="none"/>
        </w:tabs>
        <w:spacing w:line="240" w:lineRule="auto" w:before="0" w:after="0"/>
        <w:ind w:left="578" w:right="0" w:hanging="459"/>
        <w:jc w:val="left"/>
      </w:pPr>
      <w:bookmarkStart w:name="_bookmark12" w:id="22"/>
      <w:bookmarkEnd w:id="22"/>
      <w:r>
        <w:rPr>
          <w:b w:val="0"/>
        </w:rPr>
      </w:r>
      <w:bookmarkStart w:name="_bookmark12" w:id="23"/>
      <w:bookmarkEnd w:id="23"/>
      <w:r>
        <w:rPr/>
        <w:t>脱硫剂加注与储存</w:t>
      </w:r>
    </w:p>
    <w:p>
      <w:pPr>
        <w:pStyle w:val="BodyText"/>
        <w:spacing w:before="7"/>
        <w:rPr>
          <w:b/>
          <w:sz w:val="32"/>
        </w:rPr>
      </w:pPr>
    </w:p>
    <w:p>
      <w:pPr>
        <w:pStyle w:val="ListParagraph"/>
        <w:numPr>
          <w:ilvl w:val="2"/>
          <w:numId w:val="7"/>
        </w:numPr>
        <w:tabs>
          <w:tab w:pos="781" w:val="left" w:leader="none"/>
        </w:tabs>
        <w:spacing w:line="364" w:lineRule="auto" w:before="0" w:after="0"/>
        <w:ind w:left="120" w:right="356" w:firstLine="0"/>
        <w:jc w:val="both"/>
        <w:rPr>
          <w:sz w:val="24"/>
        </w:rPr>
      </w:pPr>
      <w:r>
        <w:rPr>
          <w:spacing w:val="-15"/>
          <w:sz w:val="24"/>
        </w:rPr>
        <w:t>应根据 </w:t>
      </w:r>
      <w:r>
        <w:rPr>
          <w:sz w:val="24"/>
        </w:rPr>
        <w:t>EGC</w:t>
      </w:r>
      <w:r>
        <w:rPr>
          <w:spacing w:val="-11"/>
          <w:sz w:val="24"/>
        </w:rPr>
        <w:t> 系统的类型，预留足够的空间用于脱硫剂加注站的布置。加注</w:t>
      </w:r>
      <w:r>
        <w:rPr>
          <w:sz w:val="24"/>
        </w:rPr>
        <w:t>站一般应位于开敞甲板，如设在封闭或半封闭处所，应考虑有效通风。</w:t>
      </w:r>
    </w:p>
    <w:p>
      <w:pPr>
        <w:pStyle w:val="ListParagraph"/>
        <w:numPr>
          <w:ilvl w:val="2"/>
          <w:numId w:val="7"/>
        </w:numPr>
        <w:tabs>
          <w:tab w:pos="781" w:val="left" w:leader="none"/>
        </w:tabs>
        <w:spacing w:line="240" w:lineRule="auto" w:before="2" w:after="0"/>
        <w:ind w:left="780" w:right="0" w:hanging="661"/>
        <w:jc w:val="left"/>
        <w:rPr>
          <w:sz w:val="24"/>
        </w:rPr>
      </w:pPr>
      <w:r>
        <w:rPr>
          <w:spacing w:val="-3"/>
          <w:sz w:val="24"/>
        </w:rPr>
        <w:t>对于湿式脱硫系统，可能发生泄漏的位置</w:t>
      </w:r>
      <w:r>
        <w:rPr>
          <w:sz w:val="24"/>
        </w:rPr>
        <w:t>（</w:t>
      </w:r>
      <w:r>
        <w:rPr>
          <w:spacing w:val="-3"/>
          <w:sz w:val="24"/>
        </w:rPr>
        <w:t>如加注站、输送泵、法兰连接</w:t>
      </w:r>
    </w:p>
    <w:p>
      <w:pPr>
        <w:spacing w:after="0" w:line="240" w:lineRule="auto"/>
        <w:jc w:val="left"/>
        <w:rPr>
          <w:sz w:val="24"/>
        </w:rPr>
        <w:sectPr>
          <w:pgSz w:w="11910" w:h="16840"/>
          <w:pgMar w:header="906" w:footer="1195" w:top="1440" w:bottom="1380" w:left="1680" w:right="1440"/>
        </w:sectPr>
      </w:pPr>
    </w:p>
    <w:p>
      <w:pPr>
        <w:pStyle w:val="BodyText"/>
        <w:spacing w:before="75"/>
        <w:ind w:left="120"/>
      </w:pPr>
      <w:r>
        <w:rPr/>
        <w:t>处等）应考虑预留承滴盘安装需要的空间。</w:t>
      </w:r>
    </w:p>
    <w:p>
      <w:pPr>
        <w:pStyle w:val="ListParagraph"/>
        <w:numPr>
          <w:ilvl w:val="2"/>
          <w:numId w:val="7"/>
        </w:numPr>
        <w:tabs>
          <w:tab w:pos="841" w:val="left" w:leader="none"/>
        </w:tabs>
        <w:spacing w:line="364" w:lineRule="auto" w:before="161" w:after="0"/>
        <w:ind w:left="120" w:right="356" w:firstLine="0"/>
        <w:jc w:val="both"/>
        <w:rPr>
          <w:sz w:val="24"/>
        </w:rPr>
      </w:pPr>
      <w:r>
        <w:rPr>
          <w:sz w:val="24"/>
        </w:rPr>
        <w:t>应预留足够的空间，用于布置脱硫剂储存舱/柜，容量计算时应考虑船舶</w:t>
      </w:r>
      <w:r>
        <w:rPr>
          <w:spacing w:val="-9"/>
          <w:sz w:val="24"/>
        </w:rPr>
        <w:t>拟定营运航线、拟使用的燃油含硫量、燃油设备的燃油消耗率等因素。该预留空</w:t>
      </w:r>
      <w:r>
        <w:rPr>
          <w:sz w:val="24"/>
        </w:rPr>
        <w:t>间不应位于控制站、起居处所和服务处所。</w:t>
      </w:r>
    </w:p>
    <w:p>
      <w:pPr>
        <w:pStyle w:val="ListParagraph"/>
        <w:numPr>
          <w:ilvl w:val="2"/>
          <w:numId w:val="7"/>
        </w:numPr>
        <w:tabs>
          <w:tab w:pos="781" w:val="left" w:leader="none"/>
        </w:tabs>
        <w:spacing w:line="364" w:lineRule="auto" w:before="2" w:after="0"/>
        <w:ind w:left="120" w:right="356" w:firstLine="0"/>
        <w:jc w:val="both"/>
        <w:rPr>
          <w:sz w:val="24"/>
        </w:rPr>
      </w:pPr>
      <w:r>
        <w:rPr>
          <w:spacing w:val="-3"/>
          <w:sz w:val="24"/>
        </w:rPr>
        <w:t>脱硫剂储存舱柜的布置应考虑其他加热舱柜或设施传热产生的影响，且不</w:t>
      </w:r>
      <w:r>
        <w:rPr>
          <w:spacing w:val="-7"/>
          <w:sz w:val="24"/>
        </w:rPr>
        <w:t>能布置在锅炉上方或者与蒸汽管接近，以避免脱硫剂被加热后加剧储存舱柜材料</w:t>
      </w:r>
      <w:r>
        <w:rPr>
          <w:sz w:val="24"/>
        </w:rPr>
        <w:t>腐蚀。</w:t>
      </w:r>
    </w:p>
    <w:p>
      <w:pPr>
        <w:pStyle w:val="ListParagraph"/>
        <w:numPr>
          <w:ilvl w:val="2"/>
          <w:numId w:val="7"/>
        </w:numPr>
        <w:tabs>
          <w:tab w:pos="841" w:val="left" w:leader="none"/>
        </w:tabs>
        <w:spacing w:line="364" w:lineRule="auto" w:before="2" w:after="0"/>
        <w:ind w:left="120" w:right="360" w:firstLine="0"/>
        <w:jc w:val="both"/>
        <w:rPr>
          <w:sz w:val="24"/>
        </w:rPr>
      </w:pPr>
      <w:r>
        <w:rPr>
          <w:sz w:val="24"/>
        </w:rPr>
        <w:t>脱硫剂储存舱/</w:t>
      </w:r>
      <w:r>
        <w:rPr>
          <w:spacing w:val="-1"/>
          <w:sz w:val="24"/>
        </w:rPr>
        <w:t>柜布置相关的船体结构强度应进行评估，并考虑在船舶建</w:t>
      </w:r>
      <w:r>
        <w:rPr>
          <w:sz w:val="24"/>
        </w:rPr>
        <w:t>造阶段予以实施。</w:t>
      </w:r>
    </w:p>
    <w:p>
      <w:pPr>
        <w:pStyle w:val="BodyText"/>
        <w:spacing w:before="6"/>
        <w:rPr>
          <w:sz w:val="20"/>
        </w:rPr>
      </w:pPr>
    </w:p>
    <w:p>
      <w:pPr>
        <w:pStyle w:val="Heading2"/>
        <w:numPr>
          <w:ilvl w:val="1"/>
          <w:numId w:val="7"/>
        </w:numPr>
        <w:tabs>
          <w:tab w:pos="579" w:val="left" w:leader="none"/>
        </w:tabs>
        <w:spacing w:line="240" w:lineRule="auto" w:before="1" w:after="0"/>
        <w:ind w:left="578" w:right="0" w:hanging="459"/>
        <w:jc w:val="both"/>
      </w:pPr>
      <w:bookmarkStart w:name="_bookmark13" w:id="24"/>
      <w:bookmarkEnd w:id="24"/>
      <w:r>
        <w:rPr>
          <w:b w:val="0"/>
        </w:rPr>
      </w:r>
      <w:bookmarkStart w:name="_bookmark13" w:id="25"/>
      <w:bookmarkEnd w:id="25"/>
      <w:r>
        <w:rPr/>
        <w:t>脱硫剂、碱液</w:t>
      </w:r>
      <w:r>
        <w:rPr>
          <w:rFonts w:ascii="Cambria" w:eastAsia="Cambria"/>
        </w:rPr>
        <w:t>/</w:t>
      </w:r>
      <w:r>
        <w:rPr/>
        <w:t>浆液制备（如有）与供应</w:t>
      </w:r>
    </w:p>
    <w:p>
      <w:pPr>
        <w:pStyle w:val="BodyText"/>
        <w:spacing w:before="9"/>
        <w:rPr>
          <w:b/>
          <w:sz w:val="32"/>
        </w:rPr>
      </w:pPr>
    </w:p>
    <w:p>
      <w:pPr>
        <w:pStyle w:val="ListParagraph"/>
        <w:numPr>
          <w:ilvl w:val="2"/>
          <w:numId w:val="7"/>
        </w:numPr>
        <w:tabs>
          <w:tab w:pos="841" w:val="left" w:leader="none"/>
        </w:tabs>
        <w:spacing w:line="240" w:lineRule="auto" w:before="0" w:after="0"/>
        <w:ind w:left="840" w:right="0" w:hanging="721"/>
        <w:jc w:val="both"/>
        <w:rPr>
          <w:sz w:val="24"/>
        </w:rPr>
      </w:pPr>
      <w:r>
        <w:rPr>
          <w:spacing w:val="-15"/>
          <w:sz w:val="24"/>
        </w:rPr>
        <w:t>如采用干式系统，应预留足够的空间用于布置脱硫剂制备系统、输送系统。</w:t>
      </w:r>
    </w:p>
    <w:p>
      <w:pPr>
        <w:pStyle w:val="ListParagraph"/>
        <w:numPr>
          <w:ilvl w:val="2"/>
          <w:numId w:val="7"/>
        </w:numPr>
        <w:tabs>
          <w:tab w:pos="781" w:val="left" w:leader="none"/>
        </w:tabs>
        <w:spacing w:line="364" w:lineRule="auto" w:before="161" w:after="0"/>
        <w:ind w:left="120" w:right="356" w:firstLine="0"/>
        <w:jc w:val="both"/>
        <w:rPr>
          <w:sz w:val="24"/>
        </w:rPr>
      </w:pPr>
      <w:r>
        <w:rPr>
          <w:spacing w:val="-9"/>
          <w:sz w:val="24"/>
        </w:rPr>
        <w:t>如采用湿式系统，应预留足够的空间用于布置碱液</w:t>
      </w:r>
      <w:r>
        <w:rPr>
          <w:sz w:val="24"/>
        </w:rPr>
        <w:t>/</w:t>
      </w:r>
      <w:r>
        <w:rPr>
          <w:spacing w:val="-13"/>
          <w:sz w:val="24"/>
        </w:rPr>
        <w:t>浆液制备系统</w:t>
      </w:r>
      <w:r>
        <w:rPr>
          <w:sz w:val="24"/>
        </w:rPr>
        <w:t>（如有</w:t>
      </w:r>
      <w:r>
        <w:rPr>
          <w:spacing w:val="-16"/>
          <w:sz w:val="24"/>
        </w:rPr>
        <w:t>） </w:t>
      </w:r>
      <w:r>
        <w:rPr>
          <w:spacing w:val="-7"/>
          <w:sz w:val="24"/>
        </w:rPr>
        <w:t>和供应系统。如碱液</w:t>
      </w:r>
      <w:r>
        <w:rPr>
          <w:sz w:val="24"/>
        </w:rPr>
        <w:t>/</w:t>
      </w:r>
      <w:r>
        <w:rPr>
          <w:spacing w:val="-4"/>
          <w:sz w:val="24"/>
        </w:rPr>
        <w:t>浆液由船上的制备系统配制时，预留空间需考虑碱液</w:t>
      </w:r>
      <w:r>
        <w:rPr>
          <w:sz w:val="24"/>
        </w:rPr>
        <w:t>/</w:t>
      </w:r>
      <w:r>
        <w:rPr>
          <w:spacing w:val="-7"/>
          <w:sz w:val="24"/>
        </w:rPr>
        <w:t>浆液</w:t>
      </w:r>
      <w:r>
        <w:rPr>
          <w:spacing w:val="-3"/>
          <w:sz w:val="24"/>
        </w:rPr>
        <w:t>储存柜的容积，该容积应不小于脱硫系统设计工况下 </w:t>
      </w:r>
      <w:r>
        <w:rPr>
          <w:sz w:val="24"/>
        </w:rPr>
        <w:t>2h</w:t>
      </w:r>
      <w:r>
        <w:rPr>
          <w:spacing w:val="-15"/>
          <w:sz w:val="24"/>
        </w:rPr>
        <w:t> 的碱液</w:t>
      </w:r>
      <w:r>
        <w:rPr>
          <w:sz w:val="24"/>
        </w:rPr>
        <w:t>/浆液消耗量。</w:t>
      </w:r>
    </w:p>
    <w:p>
      <w:pPr>
        <w:pStyle w:val="ListParagraph"/>
        <w:numPr>
          <w:ilvl w:val="2"/>
          <w:numId w:val="7"/>
        </w:numPr>
        <w:tabs>
          <w:tab w:pos="781" w:val="left" w:leader="none"/>
        </w:tabs>
        <w:spacing w:line="364" w:lineRule="auto" w:before="2" w:after="0"/>
        <w:ind w:left="120" w:right="357" w:firstLine="0"/>
        <w:jc w:val="both"/>
        <w:rPr>
          <w:sz w:val="24"/>
        </w:rPr>
      </w:pPr>
      <w:r>
        <w:rPr>
          <w:spacing w:val="-4"/>
          <w:sz w:val="24"/>
        </w:rPr>
        <w:t>碱液管系不应设在或通过起居处所、服务处所、控制站，也不应布置在锅</w:t>
      </w:r>
      <w:r>
        <w:rPr>
          <w:sz w:val="24"/>
        </w:rPr>
        <w:t>炉上方或者靠近蒸汽管路、废气系统、需要绝热的热表面。</w:t>
      </w:r>
    </w:p>
    <w:p>
      <w:pPr>
        <w:pStyle w:val="ListParagraph"/>
        <w:numPr>
          <w:ilvl w:val="2"/>
          <w:numId w:val="7"/>
        </w:numPr>
        <w:tabs>
          <w:tab w:pos="841" w:val="left" w:leader="none"/>
        </w:tabs>
        <w:spacing w:line="364" w:lineRule="auto" w:before="1" w:after="0"/>
        <w:ind w:left="120" w:right="360" w:firstLine="0"/>
        <w:jc w:val="both"/>
        <w:rPr>
          <w:sz w:val="24"/>
        </w:rPr>
      </w:pPr>
      <w:r>
        <w:rPr>
          <w:sz w:val="24"/>
        </w:rPr>
        <w:t>碱液/</w:t>
      </w:r>
      <w:r>
        <w:rPr>
          <w:spacing w:val="-1"/>
          <w:sz w:val="24"/>
        </w:rPr>
        <w:t>浆液制备与供应系统中可能发生泄漏的位置，应考虑预留承滴盘安</w:t>
      </w:r>
      <w:r>
        <w:rPr>
          <w:sz w:val="24"/>
        </w:rPr>
        <w:t>装所需的空间。</w:t>
      </w:r>
    </w:p>
    <w:p>
      <w:pPr>
        <w:pStyle w:val="BodyText"/>
        <w:spacing w:before="7"/>
        <w:rPr>
          <w:sz w:val="20"/>
        </w:rPr>
      </w:pPr>
    </w:p>
    <w:p>
      <w:pPr>
        <w:pStyle w:val="Heading2"/>
        <w:numPr>
          <w:ilvl w:val="1"/>
          <w:numId w:val="7"/>
        </w:numPr>
        <w:tabs>
          <w:tab w:pos="579" w:val="left" w:leader="none"/>
        </w:tabs>
        <w:spacing w:line="240" w:lineRule="auto" w:before="0" w:after="0"/>
        <w:ind w:left="578" w:right="0" w:hanging="459"/>
        <w:jc w:val="both"/>
      </w:pPr>
      <w:bookmarkStart w:name="_bookmark14" w:id="26"/>
      <w:bookmarkEnd w:id="26"/>
      <w:r>
        <w:rPr>
          <w:b w:val="0"/>
        </w:rPr>
      </w:r>
      <w:bookmarkStart w:name="_bookmark14" w:id="27"/>
      <w:bookmarkEnd w:id="27"/>
      <w:r>
        <w:rPr/>
        <w:t>洗涤水系统</w:t>
      </w:r>
    </w:p>
    <w:p>
      <w:pPr>
        <w:pStyle w:val="BodyText"/>
        <w:spacing w:before="7"/>
        <w:rPr>
          <w:b/>
          <w:sz w:val="32"/>
        </w:rPr>
      </w:pPr>
    </w:p>
    <w:p>
      <w:pPr>
        <w:pStyle w:val="ListParagraph"/>
        <w:numPr>
          <w:ilvl w:val="2"/>
          <w:numId w:val="7"/>
        </w:numPr>
        <w:tabs>
          <w:tab w:pos="781" w:val="left" w:leader="none"/>
        </w:tabs>
        <w:spacing w:line="240" w:lineRule="auto" w:before="1" w:after="0"/>
        <w:ind w:left="780" w:right="0" w:hanging="661"/>
        <w:jc w:val="both"/>
        <w:rPr>
          <w:sz w:val="24"/>
        </w:rPr>
      </w:pPr>
      <w:r>
        <w:rPr>
          <w:sz w:val="24"/>
        </w:rPr>
        <w:t>应预留足够的空间用于布置洗涤水系统。</w:t>
      </w:r>
    </w:p>
    <w:p>
      <w:pPr>
        <w:pStyle w:val="ListParagraph"/>
        <w:numPr>
          <w:ilvl w:val="2"/>
          <w:numId w:val="7"/>
        </w:numPr>
        <w:tabs>
          <w:tab w:pos="841" w:val="left" w:leader="none"/>
        </w:tabs>
        <w:spacing w:line="364" w:lineRule="auto" w:before="160" w:after="0"/>
        <w:ind w:left="120" w:right="362" w:firstLine="0"/>
        <w:jc w:val="both"/>
        <w:rPr>
          <w:sz w:val="24"/>
        </w:rPr>
      </w:pPr>
      <w:r>
        <w:rPr>
          <w:sz w:val="24"/>
        </w:rPr>
        <w:t>洗涤水处理装置的容量配置应能满足 EGC</w:t>
      </w:r>
      <w:r>
        <w:rPr>
          <w:spacing w:val="-2"/>
          <w:sz w:val="24"/>
        </w:rPr>
        <w:t> 系统设计工况下的洗涤水处理</w:t>
      </w:r>
      <w:r>
        <w:rPr>
          <w:sz w:val="24"/>
        </w:rPr>
        <w:t>需求。</w:t>
      </w:r>
    </w:p>
    <w:p>
      <w:pPr>
        <w:pStyle w:val="ListParagraph"/>
        <w:numPr>
          <w:ilvl w:val="2"/>
          <w:numId w:val="7"/>
        </w:numPr>
        <w:tabs>
          <w:tab w:pos="781" w:val="left" w:leader="none"/>
        </w:tabs>
        <w:spacing w:line="240" w:lineRule="auto" w:before="1" w:after="0"/>
        <w:ind w:left="780" w:right="0" w:hanging="661"/>
        <w:jc w:val="both"/>
        <w:rPr>
          <w:sz w:val="24"/>
        </w:rPr>
      </w:pPr>
      <w:r>
        <w:rPr>
          <w:sz w:val="24"/>
        </w:rPr>
        <w:t>应考虑洗涤水舷外排放系统的布置，确保其不与其他系统相连。</w:t>
      </w:r>
    </w:p>
    <w:p>
      <w:pPr>
        <w:pStyle w:val="ListParagraph"/>
        <w:numPr>
          <w:ilvl w:val="2"/>
          <w:numId w:val="7"/>
        </w:numPr>
        <w:tabs>
          <w:tab w:pos="781" w:val="left" w:leader="none"/>
        </w:tabs>
        <w:spacing w:line="364" w:lineRule="auto" w:before="161" w:after="0"/>
        <w:ind w:left="120" w:right="358" w:firstLine="0"/>
        <w:jc w:val="both"/>
        <w:rPr>
          <w:sz w:val="24"/>
        </w:rPr>
      </w:pPr>
      <w:r>
        <w:rPr>
          <w:spacing w:val="-4"/>
          <w:sz w:val="24"/>
        </w:rPr>
        <w:t>洗涤水舷外排放口的布置，应保证船舶在正常航行吃水情况下，舷外排放</w:t>
      </w:r>
      <w:r>
        <w:rPr>
          <w:spacing w:val="-7"/>
          <w:sz w:val="24"/>
        </w:rPr>
        <w:t>口始终处于舷外水面以下。该排放口应尽量远离海水吸入口，并应考虑船舶推进</w:t>
      </w:r>
      <w:r>
        <w:rPr>
          <w:spacing w:val="-10"/>
          <w:sz w:val="24"/>
        </w:rPr>
        <w:t>特征，防止洗涤水排放时对螺旋桨或推进器、船体外板等造成腐蚀。舷外排放口</w:t>
      </w:r>
      <w:r>
        <w:rPr>
          <w:sz w:val="24"/>
        </w:rPr>
        <w:t>的布置应便于洗涤水取样。</w:t>
      </w:r>
    </w:p>
    <w:p>
      <w:pPr>
        <w:spacing w:after="0" w:line="364" w:lineRule="auto"/>
        <w:jc w:val="both"/>
        <w:rPr>
          <w:sz w:val="24"/>
        </w:rPr>
        <w:sectPr>
          <w:pgSz w:w="11910" w:h="16840"/>
          <w:pgMar w:header="906" w:footer="1195" w:top="1440" w:bottom="1380" w:left="1680" w:right="1440"/>
        </w:sectPr>
      </w:pPr>
    </w:p>
    <w:p>
      <w:pPr>
        <w:pStyle w:val="ListParagraph"/>
        <w:numPr>
          <w:ilvl w:val="2"/>
          <w:numId w:val="7"/>
        </w:numPr>
        <w:tabs>
          <w:tab w:pos="841" w:val="left" w:leader="none"/>
        </w:tabs>
        <w:spacing w:line="364" w:lineRule="auto" w:before="75" w:after="0"/>
        <w:ind w:left="120" w:right="356" w:firstLine="0"/>
        <w:jc w:val="both"/>
        <w:rPr>
          <w:sz w:val="24"/>
        </w:rPr>
      </w:pPr>
      <w:r>
        <w:rPr>
          <w:spacing w:val="-10"/>
          <w:sz w:val="24"/>
        </w:rPr>
        <w:t>为便于将来 </w:t>
      </w:r>
      <w:r>
        <w:rPr>
          <w:sz w:val="24"/>
        </w:rPr>
        <w:t>EGC</w:t>
      </w:r>
      <w:r>
        <w:rPr>
          <w:spacing w:val="-13"/>
          <w:sz w:val="24"/>
        </w:rPr>
        <w:t> 系统的安装改造，应考虑洗涤水排放阀的安装位置。如预</w:t>
      </w:r>
      <w:r>
        <w:rPr>
          <w:spacing w:val="-8"/>
          <w:sz w:val="24"/>
        </w:rPr>
        <w:t>安装了洗涤水排放阀，该阀应锁定在关闭状态，并设盲板法兰和警告牌，警告牌</w:t>
      </w:r>
      <w:r>
        <w:rPr>
          <w:sz w:val="24"/>
        </w:rPr>
        <w:t>注明：此阀须保持常关。</w:t>
      </w:r>
    </w:p>
    <w:p>
      <w:pPr>
        <w:pStyle w:val="BodyText"/>
        <w:spacing w:before="7"/>
        <w:rPr>
          <w:sz w:val="20"/>
        </w:rPr>
      </w:pPr>
    </w:p>
    <w:p>
      <w:pPr>
        <w:pStyle w:val="Heading2"/>
        <w:numPr>
          <w:ilvl w:val="1"/>
          <w:numId w:val="7"/>
        </w:numPr>
        <w:tabs>
          <w:tab w:pos="579" w:val="left" w:leader="none"/>
        </w:tabs>
        <w:spacing w:line="240" w:lineRule="auto" w:before="0" w:after="0"/>
        <w:ind w:left="578" w:right="0" w:hanging="459"/>
        <w:jc w:val="both"/>
      </w:pPr>
      <w:bookmarkStart w:name="_bookmark15" w:id="28"/>
      <w:bookmarkEnd w:id="28"/>
      <w:r>
        <w:rPr>
          <w:b w:val="0"/>
        </w:rPr>
      </w:r>
      <w:bookmarkStart w:name="_bookmark15" w:id="29"/>
      <w:bookmarkEnd w:id="29"/>
      <w:r>
        <w:rPr/>
        <w:t>脱硫渣系统</w:t>
      </w:r>
    </w:p>
    <w:p>
      <w:pPr>
        <w:pStyle w:val="BodyText"/>
        <w:spacing w:before="10"/>
        <w:rPr>
          <w:b/>
          <w:sz w:val="32"/>
        </w:rPr>
      </w:pPr>
    </w:p>
    <w:p>
      <w:pPr>
        <w:pStyle w:val="ListParagraph"/>
        <w:numPr>
          <w:ilvl w:val="2"/>
          <w:numId w:val="7"/>
        </w:numPr>
        <w:tabs>
          <w:tab w:pos="781" w:val="left" w:leader="none"/>
        </w:tabs>
        <w:spacing w:line="364" w:lineRule="auto" w:before="0" w:after="0"/>
        <w:ind w:left="120" w:right="116" w:firstLine="0"/>
        <w:jc w:val="left"/>
        <w:rPr>
          <w:sz w:val="24"/>
        </w:rPr>
      </w:pPr>
      <w:r>
        <w:rPr>
          <w:spacing w:val="-3"/>
          <w:sz w:val="24"/>
        </w:rPr>
        <w:t>应预留足够的空间用于布置脱硫渣储存柜、脱硫渣排岸设施及其相关管路。</w:t>
      </w:r>
      <w:r>
        <w:rPr>
          <w:spacing w:val="-7"/>
          <w:sz w:val="24"/>
        </w:rPr>
        <w:t>脱硫渣柜的容量计算时，应考虑脱硫装置的类型、数量以及可排放脱硫渣港口之 </w:t>
      </w:r>
      <w:r>
        <w:rPr>
          <w:spacing w:val="-10"/>
          <w:sz w:val="24"/>
        </w:rPr>
        <w:t>间最大的航行时间等因素。如缺少准确数据，可按 </w:t>
      </w:r>
      <w:r>
        <w:rPr>
          <w:sz w:val="24"/>
        </w:rPr>
        <w:t>30</w:t>
      </w:r>
      <w:r>
        <w:rPr>
          <w:spacing w:val="-12"/>
          <w:sz w:val="24"/>
        </w:rPr>
        <w:t> 天计算。</w:t>
      </w:r>
    </w:p>
    <w:p>
      <w:pPr>
        <w:pStyle w:val="BodyText"/>
        <w:spacing w:before="8"/>
        <w:rPr>
          <w:sz w:val="20"/>
        </w:rPr>
      </w:pPr>
    </w:p>
    <w:p>
      <w:pPr>
        <w:pStyle w:val="Heading2"/>
        <w:numPr>
          <w:ilvl w:val="1"/>
          <w:numId w:val="7"/>
        </w:numPr>
        <w:tabs>
          <w:tab w:pos="721" w:val="left" w:leader="none"/>
        </w:tabs>
        <w:spacing w:line="240" w:lineRule="auto" w:before="0" w:after="0"/>
        <w:ind w:left="720" w:right="0" w:hanging="601"/>
        <w:jc w:val="left"/>
      </w:pPr>
      <w:bookmarkStart w:name="_bookmark16" w:id="30"/>
      <w:bookmarkEnd w:id="30"/>
      <w:r>
        <w:rPr>
          <w:b w:val="0"/>
        </w:rPr>
      </w:r>
      <w:bookmarkStart w:name="_bookmark16" w:id="31"/>
      <w:bookmarkEnd w:id="31"/>
      <w:r>
        <w:rPr/>
        <w:t>排气系统</w:t>
      </w:r>
    </w:p>
    <w:p>
      <w:pPr>
        <w:pStyle w:val="BodyText"/>
        <w:spacing w:before="7"/>
        <w:rPr>
          <w:b/>
          <w:sz w:val="32"/>
        </w:rPr>
      </w:pPr>
    </w:p>
    <w:p>
      <w:pPr>
        <w:pStyle w:val="ListParagraph"/>
        <w:numPr>
          <w:ilvl w:val="2"/>
          <w:numId w:val="7"/>
        </w:numPr>
        <w:tabs>
          <w:tab w:pos="930" w:val="left" w:leader="none"/>
        </w:tabs>
        <w:spacing w:line="364" w:lineRule="auto" w:before="0" w:after="0"/>
        <w:ind w:left="120" w:right="356" w:firstLine="0"/>
        <w:jc w:val="both"/>
        <w:rPr>
          <w:sz w:val="24"/>
        </w:rPr>
      </w:pPr>
      <w:r>
        <w:rPr>
          <w:spacing w:val="-2"/>
          <w:sz w:val="24"/>
        </w:rPr>
        <w:t>脱硫塔后排气管及部件的材料和设计应考虑 </w:t>
      </w:r>
      <w:r>
        <w:rPr>
          <w:sz w:val="24"/>
        </w:rPr>
        <w:t>EGC</w:t>
      </w:r>
      <w:r>
        <w:rPr>
          <w:spacing w:val="-7"/>
          <w:sz w:val="24"/>
        </w:rPr>
        <w:t> 系统安装后的防腐、冷</w:t>
      </w:r>
      <w:r>
        <w:rPr>
          <w:sz w:val="24"/>
        </w:rPr>
        <w:t>凝水泄放等需要。</w:t>
      </w:r>
    </w:p>
    <w:p>
      <w:pPr>
        <w:pStyle w:val="ListParagraph"/>
        <w:numPr>
          <w:ilvl w:val="2"/>
          <w:numId w:val="7"/>
        </w:numPr>
        <w:tabs>
          <w:tab w:pos="961" w:val="left" w:leader="none"/>
        </w:tabs>
        <w:spacing w:line="364" w:lineRule="auto" w:before="1" w:after="0"/>
        <w:ind w:left="120" w:right="356" w:firstLine="0"/>
        <w:jc w:val="both"/>
        <w:rPr>
          <w:sz w:val="24"/>
        </w:rPr>
      </w:pPr>
      <w:r>
        <w:rPr>
          <w:spacing w:val="-24"/>
          <w:sz w:val="24"/>
        </w:rPr>
        <w:t>如 </w:t>
      </w:r>
      <w:r>
        <w:rPr>
          <w:sz w:val="24"/>
        </w:rPr>
        <w:t>EGC</w:t>
      </w:r>
      <w:r>
        <w:rPr>
          <w:spacing w:val="-8"/>
          <w:sz w:val="24"/>
        </w:rPr>
        <w:t> 系统需要安装排气监测装置，则排气取样点的位置应在所提交的</w:t>
      </w:r>
      <w:r>
        <w:rPr>
          <w:spacing w:val="-5"/>
          <w:sz w:val="24"/>
        </w:rPr>
        <w:t>图纸资料中予以标识，该取样点的位置应能满足 </w:t>
      </w:r>
      <w:r>
        <w:rPr>
          <w:spacing w:val="-6"/>
          <w:sz w:val="24"/>
        </w:rPr>
        <w:t>CCS</w:t>
      </w:r>
      <w:r>
        <w:rPr>
          <w:spacing w:val="-2"/>
          <w:sz w:val="24"/>
        </w:rPr>
        <w:t>《船用柴油机氮氧化物排放</w:t>
      </w:r>
      <w:r>
        <w:rPr>
          <w:spacing w:val="-6"/>
          <w:sz w:val="24"/>
        </w:rPr>
        <w:t>试验及检验指南》第 </w:t>
      </w:r>
      <w:r>
        <w:rPr>
          <w:sz w:val="24"/>
        </w:rPr>
        <w:t>5</w:t>
      </w:r>
      <w:r>
        <w:rPr>
          <w:spacing w:val="-8"/>
          <w:sz w:val="24"/>
        </w:rPr>
        <w:t> 章和相关附录的要求。</w:t>
      </w:r>
    </w:p>
    <w:p>
      <w:pPr>
        <w:pStyle w:val="BodyText"/>
        <w:spacing w:before="8"/>
        <w:rPr>
          <w:sz w:val="20"/>
        </w:rPr>
      </w:pPr>
    </w:p>
    <w:p>
      <w:pPr>
        <w:pStyle w:val="Heading2"/>
        <w:numPr>
          <w:ilvl w:val="1"/>
          <w:numId w:val="7"/>
        </w:numPr>
        <w:tabs>
          <w:tab w:pos="721" w:val="left" w:leader="none"/>
        </w:tabs>
        <w:spacing w:line="240" w:lineRule="auto" w:before="0" w:after="0"/>
        <w:ind w:left="720" w:right="0" w:hanging="601"/>
        <w:jc w:val="left"/>
      </w:pPr>
      <w:bookmarkStart w:name="_bookmark17" w:id="32"/>
      <w:bookmarkEnd w:id="32"/>
      <w:r>
        <w:rPr>
          <w:b w:val="0"/>
        </w:rPr>
      </w:r>
      <w:bookmarkStart w:name="_bookmark17" w:id="33"/>
      <w:bookmarkEnd w:id="33"/>
      <w:r>
        <w:rPr/>
        <w:t>海水</w:t>
      </w:r>
      <w:r>
        <w:rPr>
          <w:rFonts w:ascii="Cambria" w:eastAsia="Cambria"/>
        </w:rPr>
        <w:t>/</w:t>
      </w:r>
      <w:r>
        <w:rPr/>
        <w:t>淡水系统</w:t>
      </w:r>
    </w:p>
    <w:p>
      <w:pPr>
        <w:pStyle w:val="BodyText"/>
        <w:spacing w:before="10"/>
        <w:rPr>
          <w:b/>
          <w:sz w:val="32"/>
        </w:rPr>
      </w:pPr>
    </w:p>
    <w:p>
      <w:pPr>
        <w:pStyle w:val="ListParagraph"/>
        <w:numPr>
          <w:ilvl w:val="2"/>
          <w:numId w:val="7"/>
        </w:numPr>
        <w:tabs>
          <w:tab w:pos="901" w:val="left" w:leader="none"/>
        </w:tabs>
        <w:spacing w:line="240" w:lineRule="auto" w:before="0" w:after="0"/>
        <w:ind w:left="900" w:right="0" w:hanging="781"/>
        <w:jc w:val="both"/>
        <w:rPr>
          <w:sz w:val="24"/>
        </w:rPr>
      </w:pPr>
      <w:r>
        <w:rPr>
          <w:spacing w:val="-5"/>
          <w:sz w:val="24"/>
        </w:rPr>
        <w:t>应预留足够的空间用于布置 </w:t>
      </w:r>
      <w:r>
        <w:rPr>
          <w:sz w:val="24"/>
        </w:rPr>
        <w:t>EGC</w:t>
      </w:r>
      <w:r>
        <w:rPr>
          <w:spacing w:val="-10"/>
          <w:sz w:val="24"/>
        </w:rPr>
        <w:t> 系统的海水</w:t>
      </w:r>
      <w:r>
        <w:rPr>
          <w:sz w:val="24"/>
        </w:rPr>
        <w:t>/淡水系统。</w:t>
      </w:r>
    </w:p>
    <w:p>
      <w:pPr>
        <w:pStyle w:val="ListParagraph"/>
        <w:numPr>
          <w:ilvl w:val="2"/>
          <w:numId w:val="7"/>
        </w:numPr>
        <w:tabs>
          <w:tab w:pos="961" w:val="left" w:leader="none"/>
        </w:tabs>
        <w:spacing w:line="364" w:lineRule="auto" w:before="160" w:after="0"/>
        <w:ind w:left="120" w:right="356" w:firstLine="0"/>
        <w:jc w:val="both"/>
        <w:rPr>
          <w:sz w:val="24"/>
        </w:rPr>
      </w:pPr>
      <w:r>
        <w:rPr>
          <w:spacing w:val="-24"/>
          <w:sz w:val="24"/>
        </w:rPr>
        <w:t>如 </w:t>
      </w:r>
      <w:r>
        <w:rPr>
          <w:sz w:val="24"/>
        </w:rPr>
        <w:t>EGC</w:t>
      </w:r>
      <w:r>
        <w:rPr>
          <w:spacing w:val="-7"/>
          <w:sz w:val="24"/>
        </w:rPr>
        <w:t> 系统共用船上已有的海水</w:t>
      </w:r>
      <w:r>
        <w:rPr>
          <w:sz w:val="24"/>
        </w:rPr>
        <w:t>/淡水系统，则船上海水/</w:t>
      </w:r>
      <w:r>
        <w:rPr>
          <w:spacing w:val="-3"/>
          <w:sz w:val="24"/>
        </w:rPr>
        <w:t>淡水泵的排量</w:t>
      </w:r>
      <w:r>
        <w:rPr>
          <w:sz w:val="24"/>
        </w:rPr>
        <w:t>应足够供应脱硫系统最大工作负荷条件下所需的海水/淡水量，且不会影响船舶其他重要辅助系统的正常运行。</w:t>
      </w:r>
    </w:p>
    <w:p>
      <w:pPr>
        <w:pStyle w:val="ListParagraph"/>
        <w:numPr>
          <w:ilvl w:val="2"/>
          <w:numId w:val="7"/>
        </w:numPr>
        <w:tabs>
          <w:tab w:pos="901" w:val="left" w:leader="none"/>
        </w:tabs>
        <w:spacing w:line="364" w:lineRule="auto" w:before="3" w:after="0"/>
        <w:ind w:left="120" w:right="358" w:firstLine="0"/>
        <w:jc w:val="both"/>
        <w:rPr>
          <w:sz w:val="24"/>
        </w:rPr>
      </w:pPr>
      <w:r>
        <w:rPr>
          <w:spacing w:val="-30"/>
          <w:sz w:val="24"/>
        </w:rPr>
        <w:t>如 </w:t>
      </w:r>
      <w:r>
        <w:rPr>
          <w:sz w:val="24"/>
        </w:rPr>
        <w:t>EGC</w:t>
      </w:r>
      <w:r>
        <w:rPr>
          <w:spacing w:val="-10"/>
          <w:sz w:val="24"/>
        </w:rPr>
        <w:t> 系统的海水</w:t>
      </w:r>
      <w:r>
        <w:rPr>
          <w:sz w:val="24"/>
        </w:rPr>
        <w:t>/</w:t>
      </w:r>
      <w:r>
        <w:rPr>
          <w:spacing w:val="-4"/>
          <w:sz w:val="24"/>
        </w:rPr>
        <w:t>淡水系统与船上其他系统相连，则应设有可靠的防倒</w:t>
      </w:r>
      <w:r>
        <w:rPr>
          <w:sz w:val="24"/>
        </w:rPr>
        <w:t>流设施。</w:t>
      </w:r>
    </w:p>
    <w:p>
      <w:pPr>
        <w:pStyle w:val="ListParagraph"/>
        <w:numPr>
          <w:ilvl w:val="2"/>
          <w:numId w:val="7"/>
        </w:numPr>
        <w:tabs>
          <w:tab w:pos="961" w:val="left" w:leader="none"/>
        </w:tabs>
        <w:spacing w:line="364" w:lineRule="auto" w:before="1" w:after="0"/>
        <w:ind w:left="120" w:right="362" w:firstLine="0"/>
        <w:jc w:val="both"/>
        <w:rPr>
          <w:sz w:val="24"/>
        </w:rPr>
      </w:pPr>
      <w:r>
        <w:rPr>
          <w:sz w:val="24"/>
        </w:rPr>
        <w:t>EGC</w:t>
      </w:r>
      <w:r>
        <w:rPr>
          <w:spacing w:val="-1"/>
          <w:sz w:val="24"/>
        </w:rPr>
        <w:t> 系统海水进口如连接到船上现有的海水箱，则海水箱舷侧开口格栅</w:t>
      </w:r>
      <w:r>
        <w:rPr>
          <w:spacing w:val="-5"/>
          <w:sz w:val="24"/>
        </w:rPr>
        <w:t>的有效通流面积计算应考虑 </w:t>
      </w:r>
      <w:r>
        <w:rPr>
          <w:sz w:val="24"/>
        </w:rPr>
        <w:t>EGC</w:t>
      </w:r>
      <w:r>
        <w:rPr>
          <w:spacing w:val="-8"/>
          <w:sz w:val="24"/>
        </w:rPr>
        <w:t> 海水进口阀的通流面积。</w:t>
      </w:r>
    </w:p>
    <w:p>
      <w:pPr>
        <w:pStyle w:val="ListParagraph"/>
        <w:numPr>
          <w:ilvl w:val="2"/>
          <w:numId w:val="7"/>
        </w:numPr>
        <w:tabs>
          <w:tab w:pos="901" w:val="left" w:leader="none"/>
        </w:tabs>
        <w:spacing w:line="364" w:lineRule="auto" w:before="1" w:after="0"/>
        <w:ind w:left="120" w:right="356" w:firstLine="0"/>
        <w:jc w:val="both"/>
        <w:rPr>
          <w:sz w:val="24"/>
        </w:rPr>
      </w:pPr>
      <w:r>
        <w:rPr>
          <w:spacing w:val="-3"/>
          <w:sz w:val="24"/>
        </w:rPr>
        <w:t>对于闭式脱硫系统和开式-闭式组合系统，淡水柜容量和船上制淡装置的</w:t>
      </w:r>
      <w:r>
        <w:rPr>
          <w:spacing w:val="-11"/>
          <w:sz w:val="24"/>
        </w:rPr>
        <w:t>设置应考虑 </w:t>
      </w:r>
      <w:r>
        <w:rPr>
          <w:sz w:val="24"/>
        </w:rPr>
        <w:t>EGC</w:t>
      </w:r>
      <w:r>
        <w:rPr>
          <w:spacing w:val="-8"/>
          <w:sz w:val="24"/>
        </w:rPr>
        <w:t> 系统运行所需要的淡水消耗量。</w:t>
      </w:r>
    </w:p>
    <w:p>
      <w:pPr>
        <w:pStyle w:val="ListParagraph"/>
        <w:numPr>
          <w:ilvl w:val="2"/>
          <w:numId w:val="7"/>
        </w:numPr>
        <w:tabs>
          <w:tab w:pos="961" w:val="left" w:leader="none"/>
        </w:tabs>
        <w:spacing w:line="364" w:lineRule="auto" w:before="1" w:after="0"/>
        <w:ind w:left="120" w:right="356" w:firstLine="0"/>
        <w:jc w:val="both"/>
        <w:rPr>
          <w:sz w:val="24"/>
        </w:rPr>
      </w:pPr>
      <w:r>
        <w:rPr>
          <w:spacing w:val="-1"/>
          <w:sz w:val="24"/>
        </w:rPr>
        <w:t>应考虑海水进口阀的安装位置。如预安装了海水进口阀，该阀应锁定在</w:t>
      </w:r>
      <w:r>
        <w:rPr>
          <w:sz w:val="24"/>
        </w:rPr>
        <w:t>关闭状态，并设盲板法兰和警告牌，警告牌注明：此阀须保持常关。</w:t>
      </w:r>
    </w:p>
    <w:p>
      <w:pPr>
        <w:spacing w:after="0" w:line="364" w:lineRule="auto"/>
        <w:jc w:val="both"/>
        <w:rPr>
          <w:sz w:val="24"/>
        </w:rPr>
        <w:sectPr>
          <w:pgSz w:w="11910" w:h="16840"/>
          <w:pgMar w:header="906" w:footer="1195" w:top="1440" w:bottom="1380" w:left="1680" w:right="1440"/>
        </w:sectPr>
      </w:pPr>
    </w:p>
    <w:p>
      <w:pPr>
        <w:pStyle w:val="Heading2"/>
        <w:numPr>
          <w:ilvl w:val="1"/>
          <w:numId w:val="7"/>
        </w:numPr>
        <w:tabs>
          <w:tab w:pos="721" w:val="left" w:leader="none"/>
        </w:tabs>
        <w:spacing w:line="240" w:lineRule="auto" w:before="78" w:after="0"/>
        <w:ind w:left="720" w:right="0" w:hanging="601"/>
        <w:jc w:val="both"/>
      </w:pPr>
      <w:bookmarkStart w:name="_bookmark18" w:id="34"/>
      <w:bookmarkEnd w:id="34"/>
      <w:r>
        <w:rPr>
          <w:b w:val="0"/>
        </w:rPr>
      </w:r>
      <w:bookmarkStart w:name="_bookmark18" w:id="35"/>
      <w:bookmarkEnd w:id="35"/>
      <w:r>
        <w:rPr/>
        <w:t>电气系统</w:t>
      </w:r>
    </w:p>
    <w:p>
      <w:pPr>
        <w:pStyle w:val="BodyText"/>
        <w:spacing w:before="7"/>
        <w:rPr>
          <w:b/>
          <w:sz w:val="32"/>
        </w:rPr>
      </w:pPr>
    </w:p>
    <w:p>
      <w:pPr>
        <w:pStyle w:val="ListParagraph"/>
        <w:numPr>
          <w:ilvl w:val="2"/>
          <w:numId w:val="7"/>
        </w:numPr>
        <w:tabs>
          <w:tab w:pos="790" w:val="left" w:leader="none"/>
        </w:tabs>
        <w:spacing w:line="364" w:lineRule="auto" w:before="0" w:after="0"/>
        <w:ind w:left="120" w:right="241" w:firstLine="0"/>
        <w:jc w:val="both"/>
        <w:rPr>
          <w:rFonts w:ascii="Calibri" w:eastAsia="Calibri"/>
          <w:sz w:val="24"/>
        </w:rPr>
      </w:pPr>
      <w:r>
        <w:rPr>
          <w:spacing w:val="-11"/>
          <w:sz w:val="24"/>
        </w:rPr>
        <w:t>船舶电站设计时，应考虑 </w:t>
      </w:r>
      <w:r>
        <w:rPr>
          <w:rFonts w:ascii="Calibri" w:eastAsia="Calibri"/>
          <w:sz w:val="24"/>
        </w:rPr>
        <w:t>EGC</w:t>
      </w:r>
      <w:r>
        <w:rPr>
          <w:rFonts w:ascii="Calibri" w:eastAsia="Calibri"/>
          <w:spacing w:val="4"/>
          <w:sz w:val="24"/>
        </w:rPr>
        <w:t> </w:t>
      </w:r>
      <w:r>
        <w:rPr>
          <w:spacing w:val="-4"/>
          <w:sz w:val="24"/>
        </w:rPr>
        <w:t>系统运行所需要的泵、风机等电气设备的用</w:t>
      </w:r>
      <w:r>
        <w:rPr>
          <w:spacing w:val="-5"/>
          <w:sz w:val="24"/>
        </w:rPr>
        <w:t>电需求，并预留足够容量，确保上述设备加装后无需增加发电机的台数或容量。</w:t>
      </w:r>
    </w:p>
    <w:p>
      <w:pPr>
        <w:pStyle w:val="ListParagraph"/>
        <w:numPr>
          <w:ilvl w:val="2"/>
          <w:numId w:val="7"/>
        </w:numPr>
        <w:tabs>
          <w:tab w:pos="790" w:val="left" w:leader="none"/>
        </w:tabs>
        <w:spacing w:line="364" w:lineRule="auto" w:before="1" w:after="0"/>
        <w:ind w:left="120" w:right="354" w:firstLine="0"/>
        <w:jc w:val="both"/>
        <w:rPr>
          <w:rFonts w:ascii="Calibri" w:eastAsia="Calibri"/>
          <w:sz w:val="24"/>
        </w:rPr>
      </w:pPr>
      <w:r>
        <w:rPr>
          <w:spacing w:val="-5"/>
          <w:sz w:val="24"/>
        </w:rPr>
        <w:t>应考虑在主配电板或分电箱内预留 </w:t>
      </w:r>
      <w:r>
        <w:rPr>
          <w:rFonts w:ascii="Calibri" w:eastAsia="Calibri"/>
          <w:sz w:val="24"/>
        </w:rPr>
        <w:t>EGC</w:t>
      </w:r>
      <w:r>
        <w:rPr>
          <w:rFonts w:ascii="Calibri" w:eastAsia="Calibri"/>
          <w:spacing w:val="4"/>
          <w:sz w:val="24"/>
        </w:rPr>
        <w:t> </w:t>
      </w:r>
      <w:r>
        <w:rPr>
          <w:spacing w:val="-7"/>
          <w:sz w:val="24"/>
        </w:rPr>
        <w:t>系统相关电气设备的供电开关，如</w:t>
      </w:r>
      <w:r>
        <w:rPr>
          <w:sz w:val="24"/>
        </w:rPr>
        <w:t>拟由分电箱供电，则该分电箱在主配电板上的馈电开关容量应能确保加装 </w:t>
      </w:r>
      <w:r>
        <w:rPr>
          <w:rFonts w:ascii="Calibri" w:eastAsia="Calibri"/>
          <w:sz w:val="24"/>
        </w:rPr>
        <w:t>EGC </w:t>
      </w:r>
      <w:r>
        <w:rPr>
          <w:sz w:val="24"/>
        </w:rPr>
        <w:t>系统后的正常使用。</w:t>
      </w:r>
    </w:p>
    <w:p>
      <w:pPr>
        <w:pStyle w:val="BodyText"/>
        <w:spacing w:before="8"/>
        <w:rPr>
          <w:sz w:val="20"/>
        </w:rPr>
      </w:pPr>
    </w:p>
    <w:p>
      <w:pPr>
        <w:pStyle w:val="Heading2"/>
        <w:numPr>
          <w:ilvl w:val="1"/>
          <w:numId w:val="7"/>
        </w:numPr>
        <w:tabs>
          <w:tab w:pos="721" w:val="left" w:leader="none"/>
        </w:tabs>
        <w:spacing w:line="240" w:lineRule="auto" w:before="0" w:after="0"/>
        <w:ind w:left="720" w:right="0" w:hanging="601"/>
        <w:jc w:val="both"/>
      </w:pPr>
      <w:bookmarkStart w:name="_bookmark19" w:id="36"/>
      <w:bookmarkEnd w:id="36"/>
      <w:r>
        <w:rPr>
          <w:b w:val="0"/>
        </w:rPr>
      </w:r>
      <w:bookmarkStart w:name="_bookmark19" w:id="37"/>
      <w:bookmarkEnd w:id="37"/>
      <w:r>
        <w:rPr/>
        <w:t>控制与监测</w:t>
      </w:r>
    </w:p>
    <w:p>
      <w:pPr>
        <w:pStyle w:val="BodyText"/>
        <w:spacing w:before="10"/>
        <w:rPr>
          <w:b/>
          <w:sz w:val="32"/>
        </w:rPr>
      </w:pPr>
    </w:p>
    <w:p>
      <w:pPr>
        <w:pStyle w:val="ListParagraph"/>
        <w:numPr>
          <w:ilvl w:val="2"/>
          <w:numId w:val="7"/>
        </w:numPr>
        <w:tabs>
          <w:tab w:pos="814" w:val="left" w:leader="none"/>
        </w:tabs>
        <w:spacing w:line="364" w:lineRule="auto" w:before="0" w:after="0"/>
        <w:ind w:left="120" w:right="356" w:firstLine="0"/>
        <w:jc w:val="both"/>
        <w:rPr>
          <w:rFonts w:ascii="Calibri" w:eastAsia="Calibri"/>
          <w:sz w:val="24"/>
        </w:rPr>
      </w:pPr>
      <w:r>
        <w:rPr>
          <w:spacing w:val="-5"/>
          <w:sz w:val="24"/>
        </w:rPr>
        <w:t>应考虑在船上预留 </w:t>
      </w:r>
      <w:r>
        <w:rPr>
          <w:rFonts w:ascii="Calibri" w:eastAsia="Calibri"/>
          <w:sz w:val="24"/>
        </w:rPr>
        <w:t>EGC</w:t>
      </w:r>
      <w:r>
        <w:rPr>
          <w:rFonts w:ascii="Calibri" w:eastAsia="Calibri"/>
          <w:spacing w:val="27"/>
          <w:sz w:val="24"/>
        </w:rPr>
        <w:t> </w:t>
      </w:r>
      <w:r>
        <w:rPr>
          <w:sz w:val="24"/>
        </w:rPr>
        <w:t>系统就地控制箱</w:t>
      </w:r>
      <w:r>
        <w:rPr>
          <w:rFonts w:ascii="Calibri" w:eastAsia="Calibri"/>
          <w:sz w:val="24"/>
        </w:rPr>
        <w:t>/</w:t>
      </w:r>
      <w:r>
        <w:rPr>
          <w:spacing w:val="-1"/>
          <w:sz w:val="24"/>
        </w:rPr>
        <w:t>柜的空间，并建议在机舱集控室</w:t>
      </w:r>
      <w:r>
        <w:rPr>
          <w:spacing w:val="-16"/>
          <w:sz w:val="24"/>
        </w:rPr>
        <w:t>内预留 </w:t>
      </w:r>
      <w:r>
        <w:rPr>
          <w:rFonts w:ascii="Calibri" w:eastAsia="Calibri"/>
          <w:sz w:val="24"/>
        </w:rPr>
        <w:t>EGC</w:t>
      </w:r>
      <w:r>
        <w:rPr>
          <w:rFonts w:ascii="Calibri" w:eastAsia="Calibri"/>
          <w:spacing w:val="4"/>
          <w:sz w:val="24"/>
        </w:rPr>
        <w:t> </w:t>
      </w:r>
      <w:r>
        <w:rPr>
          <w:sz w:val="24"/>
        </w:rPr>
        <w:t>系统紧急停机装置的位置。</w:t>
      </w:r>
    </w:p>
    <w:p>
      <w:pPr>
        <w:pStyle w:val="ListParagraph"/>
        <w:numPr>
          <w:ilvl w:val="2"/>
          <w:numId w:val="7"/>
        </w:numPr>
        <w:tabs>
          <w:tab w:pos="850" w:val="left" w:leader="none"/>
        </w:tabs>
        <w:spacing w:line="364" w:lineRule="auto" w:before="1" w:after="0"/>
        <w:ind w:left="120" w:right="233" w:firstLine="0"/>
        <w:jc w:val="both"/>
        <w:rPr>
          <w:rFonts w:ascii="Calibri" w:eastAsia="Calibri"/>
          <w:sz w:val="24"/>
        </w:rPr>
      </w:pPr>
      <w:r>
        <w:rPr>
          <w:spacing w:val="-27"/>
          <w:sz w:val="24"/>
        </w:rPr>
        <w:t>与 </w:t>
      </w:r>
      <w:r>
        <w:rPr>
          <w:rFonts w:ascii="Calibri" w:eastAsia="Calibri"/>
          <w:sz w:val="24"/>
        </w:rPr>
        <w:t>EGC</w:t>
      </w:r>
      <w:r>
        <w:rPr>
          <w:rFonts w:ascii="Calibri" w:eastAsia="Calibri"/>
          <w:spacing w:val="11"/>
          <w:sz w:val="24"/>
        </w:rPr>
        <w:t> </w:t>
      </w:r>
      <w:r>
        <w:rPr>
          <w:spacing w:val="-1"/>
          <w:sz w:val="24"/>
        </w:rPr>
        <w:t>系统有信号传输要求的船上设备，如机舱监测报警系统、</w:t>
      </w:r>
      <w:r>
        <w:rPr>
          <w:rFonts w:ascii="Calibri" w:eastAsia="Calibri"/>
          <w:sz w:val="24"/>
        </w:rPr>
        <w:t>GPS</w:t>
      </w:r>
      <w:r>
        <w:rPr>
          <w:rFonts w:ascii="Calibri" w:eastAsia="Calibri"/>
          <w:spacing w:val="13"/>
          <w:sz w:val="24"/>
        </w:rPr>
        <w:t> </w:t>
      </w:r>
      <w:r>
        <w:rPr>
          <w:spacing w:val="-6"/>
          <w:sz w:val="24"/>
        </w:rPr>
        <w:t>等， </w:t>
      </w:r>
      <w:r>
        <w:rPr>
          <w:sz w:val="24"/>
        </w:rPr>
        <w:t>应考虑预留信号传输接口。</w:t>
      </w:r>
    </w:p>
    <w:sectPr>
      <w:pgSz w:w="11910" w:h="16840"/>
      <w:pgMar w:header="906" w:footer="1195" w:top="1440" w:bottom="1380" w:left="16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宋体">
    <w:altName w:val="宋体"/>
    <w:charset w:val="86"/>
    <w:family w:val="auto"/>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369995pt;margin-top:771.169983pt;width:8.6pt;height:11pt;mso-position-horizontal-relative:page;mso-position-vertical-relative:page;z-index:-25199308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94112" from="88.584pt,54.959984pt" to="506.854pt,54.959984pt" stroked="true" strokeweight=".72pt" strokecolor="#000000">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
      <w:numFmt w:val="decimal"/>
      <w:lvlText w:val="%1"/>
      <w:lvlJc w:val="left"/>
      <w:pPr>
        <w:ind w:left="518" w:hanging="399"/>
        <w:jc w:val="left"/>
      </w:pPr>
      <w:rPr>
        <w:rFonts w:hint="default"/>
        <w:lang w:val="zh-CN" w:eastAsia="zh-CN" w:bidi="zh-CN"/>
      </w:rPr>
    </w:lvl>
    <w:lvl w:ilvl="1">
      <w:start w:val="1"/>
      <w:numFmt w:val="decimal"/>
      <w:lvlText w:val="%1.%2"/>
      <w:lvlJc w:val="left"/>
      <w:pPr>
        <w:ind w:left="518" w:hanging="399"/>
        <w:jc w:val="left"/>
      </w:pPr>
      <w:rPr>
        <w:rFonts w:hint="default" w:ascii="Cambria" w:hAnsi="Cambria" w:eastAsia="Cambria" w:cs="Cambria"/>
        <w:b/>
        <w:bCs/>
        <w:spacing w:val="-1"/>
        <w:w w:val="100"/>
        <w:sz w:val="24"/>
        <w:szCs w:val="24"/>
        <w:lang w:val="zh-CN" w:eastAsia="zh-CN" w:bidi="zh-CN"/>
      </w:rPr>
    </w:lvl>
    <w:lvl w:ilvl="2">
      <w:start w:val="1"/>
      <w:numFmt w:val="decimal"/>
      <w:lvlText w:val="%1.%2.%3"/>
      <w:lvlJc w:val="left"/>
      <w:pPr>
        <w:ind w:left="120" w:hanging="694"/>
        <w:jc w:val="left"/>
      </w:pPr>
      <w:rPr>
        <w:rFonts w:hint="default"/>
        <w:spacing w:val="-61"/>
        <w:w w:val="100"/>
        <w:lang w:val="zh-CN" w:eastAsia="zh-CN" w:bidi="zh-CN"/>
      </w:rPr>
    </w:lvl>
    <w:lvl w:ilvl="3">
      <w:start w:val="1"/>
      <w:numFmt w:val="decimal"/>
      <w:lvlText w:val="（%4）"/>
      <w:lvlJc w:val="left"/>
      <w:pPr>
        <w:ind w:left="1260" w:hanging="694"/>
        <w:jc w:val="left"/>
      </w:pPr>
      <w:rPr>
        <w:rFonts w:hint="default" w:ascii="宋体" w:hAnsi="宋体" w:eastAsia="宋体" w:cs="宋体"/>
        <w:spacing w:val="-45"/>
        <w:w w:val="100"/>
        <w:sz w:val="18"/>
        <w:szCs w:val="18"/>
        <w:lang w:val="zh-CN" w:eastAsia="zh-CN" w:bidi="zh-CN"/>
      </w:rPr>
    </w:lvl>
    <w:lvl w:ilvl="4">
      <w:start w:val="0"/>
      <w:numFmt w:val="bullet"/>
      <w:lvlText w:val="•"/>
      <w:lvlJc w:val="left"/>
      <w:pPr>
        <w:ind w:left="840" w:hanging="694"/>
      </w:pPr>
      <w:rPr>
        <w:rFonts w:hint="default"/>
        <w:lang w:val="zh-CN" w:eastAsia="zh-CN" w:bidi="zh-CN"/>
      </w:rPr>
    </w:lvl>
    <w:lvl w:ilvl="5">
      <w:start w:val="0"/>
      <w:numFmt w:val="bullet"/>
      <w:lvlText w:val="•"/>
      <w:lvlJc w:val="left"/>
      <w:pPr>
        <w:ind w:left="900" w:hanging="694"/>
      </w:pPr>
      <w:rPr>
        <w:rFonts w:hint="default"/>
        <w:lang w:val="zh-CN" w:eastAsia="zh-CN" w:bidi="zh-CN"/>
      </w:rPr>
    </w:lvl>
    <w:lvl w:ilvl="6">
      <w:start w:val="0"/>
      <w:numFmt w:val="bullet"/>
      <w:lvlText w:val="•"/>
      <w:lvlJc w:val="left"/>
      <w:pPr>
        <w:ind w:left="1260" w:hanging="694"/>
      </w:pPr>
      <w:rPr>
        <w:rFonts w:hint="default"/>
        <w:lang w:val="zh-CN" w:eastAsia="zh-CN" w:bidi="zh-CN"/>
      </w:rPr>
    </w:lvl>
    <w:lvl w:ilvl="7">
      <w:start w:val="0"/>
      <w:numFmt w:val="bullet"/>
      <w:lvlText w:val="•"/>
      <w:lvlJc w:val="left"/>
      <w:pPr>
        <w:ind w:left="3141" w:hanging="694"/>
      </w:pPr>
      <w:rPr>
        <w:rFonts w:hint="default"/>
        <w:lang w:val="zh-CN" w:eastAsia="zh-CN" w:bidi="zh-CN"/>
      </w:rPr>
    </w:lvl>
    <w:lvl w:ilvl="8">
      <w:start w:val="0"/>
      <w:numFmt w:val="bullet"/>
      <w:lvlText w:val="•"/>
      <w:lvlJc w:val="left"/>
      <w:pPr>
        <w:ind w:left="5023" w:hanging="694"/>
      </w:pPr>
      <w:rPr>
        <w:rFonts w:hint="default"/>
        <w:lang w:val="zh-CN" w:eastAsia="zh-CN" w:bidi="zh-CN"/>
      </w:rPr>
    </w:lvl>
  </w:abstractNum>
  <w:abstractNum w:abstractNumId="5">
    <w:multiLevelType w:val="hybridMultilevel"/>
    <w:lvl w:ilvl="0">
      <w:start w:val="1"/>
      <w:numFmt w:val="decimal"/>
      <w:lvlText w:val="（%1）"/>
      <w:lvlJc w:val="left"/>
      <w:pPr>
        <w:ind w:left="540" w:hanging="840"/>
        <w:jc w:val="left"/>
      </w:pPr>
      <w:rPr>
        <w:rFonts w:hint="default" w:ascii="宋体" w:hAnsi="宋体" w:eastAsia="宋体" w:cs="宋体"/>
        <w:spacing w:val="-120"/>
        <w:w w:val="100"/>
        <w:sz w:val="24"/>
        <w:szCs w:val="24"/>
        <w:lang w:val="zh-CN" w:eastAsia="zh-CN" w:bidi="zh-CN"/>
      </w:rPr>
    </w:lvl>
    <w:lvl w:ilvl="1">
      <w:start w:val="0"/>
      <w:numFmt w:val="bullet"/>
      <w:lvlText w:val="•"/>
      <w:lvlJc w:val="left"/>
      <w:pPr>
        <w:ind w:left="1364" w:hanging="840"/>
      </w:pPr>
      <w:rPr>
        <w:rFonts w:hint="default"/>
        <w:lang w:val="zh-CN" w:eastAsia="zh-CN" w:bidi="zh-CN"/>
      </w:rPr>
    </w:lvl>
    <w:lvl w:ilvl="2">
      <w:start w:val="0"/>
      <w:numFmt w:val="bullet"/>
      <w:lvlText w:val="•"/>
      <w:lvlJc w:val="left"/>
      <w:pPr>
        <w:ind w:left="2189" w:hanging="840"/>
      </w:pPr>
      <w:rPr>
        <w:rFonts w:hint="default"/>
        <w:lang w:val="zh-CN" w:eastAsia="zh-CN" w:bidi="zh-CN"/>
      </w:rPr>
    </w:lvl>
    <w:lvl w:ilvl="3">
      <w:start w:val="0"/>
      <w:numFmt w:val="bullet"/>
      <w:lvlText w:val="•"/>
      <w:lvlJc w:val="left"/>
      <w:pPr>
        <w:ind w:left="3013" w:hanging="840"/>
      </w:pPr>
      <w:rPr>
        <w:rFonts w:hint="default"/>
        <w:lang w:val="zh-CN" w:eastAsia="zh-CN" w:bidi="zh-CN"/>
      </w:rPr>
    </w:lvl>
    <w:lvl w:ilvl="4">
      <w:start w:val="0"/>
      <w:numFmt w:val="bullet"/>
      <w:lvlText w:val="•"/>
      <w:lvlJc w:val="left"/>
      <w:pPr>
        <w:ind w:left="3838" w:hanging="840"/>
      </w:pPr>
      <w:rPr>
        <w:rFonts w:hint="default"/>
        <w:lang w:val="zh-CN" w:eastAsia="zh-CN" w:bidi="zh-CN"/>
      </w:rPr>
    </w:lvl>
    <w:lvl w:ilvl="5">
      <w:start w:val="0"/>
      <w:numFmt w:val="bullet"/>
      <w:lvlText w:val="•"/>
      <w:lvlJc w:val="left"/>
      <w:pPr>
        <w:ind w:left="4663" w:hanging="840"/>
      </w:pPr>
      <w:rPr>
        <w:rFonts w:hint="default"/>
        <w:lang w:val="zh-CN" w:eastAsia="zh-CN" w:bidi="zh-CN"/>
      </w:rPr>
    </w:lvl>
    <w:lvl w:ilvl="6">
      <w:start w:val="0"/>
      <w:numFmt w:val="bullet"/>
      <w:lvlText w:val="•"/>
      <w:lvlJc w:val="left"/>
      <w:pPr>
        <w:ind w:left="5487" w:hanging="840"/>
      </w:pPr>
      <w:rPr>
        <w:rFonts w:hint="default"/>
        <w:lang w:val="zh-CN" w:eastAsia="zh-CN" w:bidi="zh-CN"/>
      </w:rPr>
    </w:lvl>
    <w:lvl w:ilvl="7">
      <w:start w:val="0"/>
      <w:numFmt w:val="bullet"/>
      <w:lvlText w:val="•"/>
      <w:lvlJc w:val="left"/>
      <w:pPr>
        <w:ind w:left="6312" w:hanging="840"/>
      </w:pPr>
      <w:rPr>
        <w:rFonts w:hint="default"/>
        <w:lang w:val="zh-CN" w:eastAsia="zh-CN" w:bidi="zh-CN"/>
      </w:rPr>
    </w:lvl>
    <w:lvl w:ilvl="8">
      <w:start w:val="0"/>
      <w:numFmt w:val="bullet"/>
      <w:lvlText w:val="•"/>
      <w:lvlJc w:val="left"/>
      <w:pPr>
        <w:ind w:left="7137" w:hanging="840"/>
      </w:pPr>
      <w:rPr>
        <w:rFonts w:hint="default"/>
        <w:lang w:val="zh-CN" w:eastAsia="zh-CN" w:bidi="zh-CN"/>
      </w:rPr>
    </w:lvl>
  </w:abstractNum>
  <w:abstractNum w:abstractNumId="4">
    <w:multiLevelType w:val="hybridMultilevel"/>
    <w:lvl w:ilvl="0">
      <w:start w:val="1"/>
      <w:numFmt w:val="decimal"/>
      <w:lvlText w:val="（%1）"/>
      <w:lvlJc w:val="left"/>
      <w:pPr>
        <w:ind w:left="721"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1526" w:hanging="601"/>
      </w:pPr>
      <w:rPr>
        <w:rFonts w:hint="default"/>
        <w:lang w:val="zh-CN" w:eastAsia="zh-CN" w:bidi="zh-CN"/>
      </w:rPr>
    </w:lvl>
    <w:lvl w:ilvl="2">
      <w:start w:val="0"/>
      <w:numFmt w:val="bullet"/>
      <w:lvlText w:val="•"/>
      <w:lvlJc w:val="left"/>
      <w:pPr>
        <w:ind w:left="2333" w:hanging="601"/>
      </w:pPr>
      <w:rPr>
        <w:rFonts w:hint="default"/>
        <w:lang w:val="zh-CN" w:eastAsia="zh-CN" w:bidi="zh-CN"/>
      </w:rPr>
    </w:lvl>
    <w:lvl w:ilvl="3">
      <w:start w:val="0"/>
      <w:numFmt w:val="bullet"/>
      <w:lvlText w:val="•"/>
      <w:lvlJc w:val="left"/>
      <w:pPr>
        <w:ind w:left="3139" w:hanging="601"/>
      </w:pPr>
      <w:rPr>
        <w:rFonts w:hint="default"/>
        <w:lang w:val="zh-CN" w:eastAsia="zh-CN" w:bidi="zh-CN"/>
      </w:rPr>
    </w:lvl>
    <w:lvl w:ilvl="4">
      <w:start w:val="0"/>
      <w:numFmt w:val="bullet"/>
      <w:lvlText w:val="•"/>
      <w:lvlJc w:val="left"/>
      <w:pPr>
        <w:ind w:left="3946" w:hanging="601"/>
      </w:pPr>
      <w:rPr>
        <w:rFonts w:hint="default"/>
        <w:lang w:val="zh-CN" w:eastAsia="zh-CN" w:bidi="zh-CN"/>
      </w:rPr>
    </w:lvl>
    <w:lvl w:ilvl="5">
      <w:start w:val="0"/>
      <w:numFmt w:val="bullet"/>
      <w:lvlText w:val="•"/>
      <w:lvlJc w:val="left"/>
      <w:pPr>
        <w:ind w:left="4753" w:hanging="601"/>
      </w:pPr>
      <w:rPr>
        <w:rFonts w:hint="default"/>
        <w:lang w:val="zh-CN" w:eastAsia="zh-CN" w:bidi="zh-CN"/>
      </w:rPr>
    </w:lvl>
    <w:lvl w:ilvl="6">
      <w:start w:val="0"/>
      <w:numFmt w:val="bullet"/>
      <w:lvlText w:val="•"/>
      <w:lvlJc w:val="left"/>
      <w:pPr>
        <w:ind w:left="5559" w:hanging="601"/>
      </w:pPr>
      <w:rPr>
        <w:rFonts w:hint="default"/>
        <w:lang w:val="zh-CN" w:eastAsia="zh-CN" w:bidi="zh-CN"/>
      </w:rPr>
    </w:lvl>
    <w:lvl w:ilvl="7">
      <w:start w:val="0"/>
      <w:numFmt w:val="bullet"/>
      <w:lvlText w:val="•"/>
      <w:lvlJc w:val="left"/>
      <w:pPr>
        <w:ind w:left="636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
    <w:multiLevelType w:val="hybridMultilevel"/>
    <w:lvl w:ilvl="0">
      <w:start w:val="1"/>
      <w:numFmt w:val="decimal"/>
      <w:lvlText w:val="（%1）"/>
      <w:lvlJc w:val="left"/>
      <w:pPr>
        <w:ind w:left="540" w:hanging="840"/>
        <w:jc w:val="left"/>
      </w:pPr>
      <w:rPr>
        <w:rFonts w:hint="default" w:ascii="宋体" w:hAnsi="宋体" w:eastAsia="宋体" w:cs="宋体"/>
        <w:spacing w:val="-60"/>
        <w:w w:val="100"/>
        <w:sz w:val="24"/>
        <w:szCs w:val="24"/>
        <w:lang w:val="zh-CN" w:eastAsia="zh-CN" w:bidi="zh-CN"/>
      </w:rPr>
    </w:lvl>
    <w:lvl w:ilvl="1">
      <w:start w:val="0"/>
      <w:numFmt w:val="bullet"/>
      <w:lvlText w:val="•"/>
      <w:lvlJc w:val="left"/>
      <w:pPr>
        <w:ind w:left="1364" w:hanging="840"/>
      </w:pPr>
      <w:rPr>
        <w:rFonts w:hint="default"/>
        <w:lang w:val="zh-CN" w:eastAsia="zh-CN" w:bidi="zh-CN"/>
      </w:rPr>
    </w:lvl>
    <w:lvl w:ilvl="2">
      <w:start w:val="0"/>
      <w:numFmt w:val="bullet"/>
      <w:lvlText w:val="•"/>
      <w:lvlJc w:val="left"/>
      <w:pPr>
        <w:ind w:left="2189" w:hanging="840"/>
      </w:pPr>
      <w:rPr>
        <w:rFonts w:hint="default"/>
        <w:lang w:val="zh-CN" w:eastAsia="zh-CN" w:bidi="zh-CN"/>
      </w:rPr>
    </w:lvl>
    <w:lvl w:ilvl="3">
      <w:start w:val="0"/>
      <w:numFmt w:val="bullet"/>
      <w:lvlText w:val="•"/>
      <w:lvlJc w:val="left"/>
      <w:pPr>
        <w:ind w:left="3013" w:hanging="840"/>
      </w:pPr>
      <w:rPr>
        <w:rFonts w:hint="default"/>
        <w:lang w:val="zh-CN" w:eastAsia="zh-CN" w:bidi="zh-CN"/>
      </w:rPr>
    </w:lvl>
    <w:lvl w:ilvl="4">
      <w:start w:val="0"/>
      <w:numFmt w:val="bullet"/>
      <w:lvlText w:val="•"/>
      <w:lvlJc w:val="left"/>
      <w:pPr>
        <w:ind w:left="3838" w:hanging="840"/>
      </w:pPr>
      <w:rPr>
        <w:rFonts w:hint="default"/>
        <w:lang w:val="zh-CN" w:eastAsia="zh-CN" w:bidi="zh-CN"/>
      </w:rPr>
    </w:lvl>
    <w:lvl w:ilvl="5">
      <w:start w:val="0"/>
      <w:numFmt w:val="bullet"/>
      <w:lvlText w:val="•"/>
      <w:lvlJc w:val="left"/>
      <w:pPr>
        <w:ind w:left="4663" w:hanging="840"/>
      </w:pPr>
      <w:rPr>
        <w:rFonts w:hint="default"/>
        <w:lang w:val="zh-CN" w:eastAsia="zh-CN" w:bidi="zh-CN"/>
      </w:rPr>
    </w:lvl>
    <w:lvl w:ilvl="6">
      <w:start w:val="0"/>
      <w:numFmt w:val="bullet"/>
      <w:lvlText w:val="•"/>
      <w:lvlJc w:val="left"/>
      <w:pPr>
        <w:ind w:left="5487" w:hanging="840"/>
      </w:pPr>
      <w:rPr>
        <w:rFonts w:hint="default"/>
        <w:lang w:val="zh-CN" w:eastAsia="zh-CN" w:bidi="zh-CN"/>
      </w:rPr>
    </w:lvl>
    <w:lvl w:ilvl="7">
      <w:start w:val="0"/>
      <w:numFmt w:val="bullet"/>
      <w:lvlText w:val="•"/>
      <w:lvlJc w:val="left"/>
      <w:pPr>
        <w:ind w:left="6312" w:hanging="840"/>
      </w:pPr>
      <w:rPr>
        <w:rFonts w:hint="default"/>
        <w:lang w:val="zh-CN" w:eastAsia="zh-CN" w:bidi="zh-CN"/>
      </w:rPr>
    </w:lvl>
    <w:lvl w:ilvl="8">
      <w:start w:val="0"/>
      <w:numFmt w:val="bullet"/>
      <w:lvlText w:val="•"/>
      <w:lvlJc w:val="left"/>
      <w:pPr>
        <w:ind w:left="7137" w:hanging="840"/>
      </w:pPr>
      <w:rPr>
        <w:rFonts w:hint="default"/>
        <w:lang w:val="zh-CN" w:eastAsia="zh-CN" w:bidi="zh-CN"/>
      </w:rPr>
    </w:lvl>
  </w:abstractNum>
  <w:abstractNum w:abstractNumId="2">
    <w:multiLevelType w:val="hybridMultilevel"/>
    <w:lvl w:ilvl="0">
      <w:start w:val="1"/>
      <w:numFmt w:val="decimal"/>
      <w:lvlText w:val="%1"/>
      <w:lvlJc w:val="left"/>
      <w:pPr>
        <w:ind w:left="578" w:hanging="459"/>
        <w:jc w:val="left"/>
      </w:pPr>
      <w:rPr>
        <w:rFonts w:hint="default"/>
        <w:lang w:val="zh-CN" w:eastAsia="zh-CN" w:bidi="zh-CN"/>
      </w:rPr>
    </w:lvl>
    <w:lvl w:ilvl="1">
      <w:start w:val="1"/>
      <w:numFmt w:val="decimal"/>
      <w:lvlText w:val="%1.%2"/>
      <w:lvlJc w:val="left"/>
      <w:pPr>
        <w:ind w:left="578" w:hanging="459"/>
        <w:jc w:val="left"/>
      </w:pPr>
      <w:rPr>
        <w:rFonts w:hint="default" w:ascii="Cambria" w:hAnsi="Cambria" w:eastAsia="Cambria" w:cs="Cambria"/>
        <w:b/>
        <w:bCs/>
        <w:spacing w:val="-1"/>
        <w:w w:val="99"/>
        <w:sz w:val="24"/>
        <w:szCs w:val="24"/>
        <w:lang w:val="zh-CN" w:eastAsia="zh-CN" w:bidi="zh-CN"/>
      </w:rPr>
    </w:lvl>
    <w:lvl w:ilvl="2">
      <w:start w:val="1"/>
      <w:numFmt w:val="decimal"/>
      <w:lvlText w:val="%1.%2.%3"/>
      <w:lvlJc w:val="left"/>
      <w:pPr>
        <w:ind w:left="120"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840" w:hanging="720"/>
      </w:pPr>
      <w:rPr>
        <w:rFonts w:hint="default"/>
        <w:lang w:val="zh-CN" w:eastAsia="zh-CN" w:bidi="zh-CN"/>
      </w:rPr>
    </w:lvl>
    <w:lvl w:ilvl="4">
      <w:start w:val="0"/>
      <w:numFmt w:val="bullet"/>
      <w:lvlText w:val="•"/>
      <w:lvlJc w:val="left"/>
      <w:pPr>
        <w:ind w:left="1975" w:hanging="720"/>
      </w:pPr>
      <w:rPr>
        <w:rFonts w:hint="default"/>
        <w:lang w:val="zh-CN" w:eastAsia="zh-CN" w:bidi="zh-CN"/>
      </w:rPr>
    </w:lvl>
    <w:lvl w:ilvl="5">
      <w:start w:val="0"/>
      <w:numFmt w:val="bullet"/>
      <w:lvlText w:val="•"/>
      <w:lvlJc w:val="left"/>
      <w:pPr>
        <w:ind w:left="3110" w:hanging="720"/>
      </w:pPr>
      <w:rPr>
        <w:rFonts w:hint="default"/>
        <w:lang w:val="zh-CN" w:eastAsia="zh-CN" w:bidi="zh-CN"/>
      </w:rPr>
    </w:lvl>
    <w:lvl w:ilvl="6">
      <w:start w:val="0"/>
      <w:numFmt w:val="bullet"/>
      <w:lvlText w:val="•"/>
      <w:lvlJc w:val="left"/>
      <w:pPr>
        <w:ind w:left="4245" w:hanging="720"/>
      </w:pPr>
      <w:rPr>
        <w:rFonts w:hint="default"/>
        <w:lang w:val="zh-CN" w:eastAsia="zh-CN" w:bidi="zh-CN"/>
      </w:rPr>
    </w:lvl>
    <w:lvl w:ilvl="7">
      <w:start w:val="0"/>
      <w:numFmt w:val="bullet"/>
      <w:lvlText w:val="•"/>
      <w:lvlJc w:val="left"/>
      <w:pPr>
        <w:ind w:left="5380" w:hanging="720"/>
      </w:pPr>
      <w:rPr>
        <w:rFonts w:hint="default"/>
        <w:lang w:val="zh-CN" w:eastAsia="zh-CN" w:bidi="zh-CN"/>
      </w:rPr>
    </w:lvl>
    <w:lvl w:ilvl="8">
      <w:start w:val="0"/>
      <w:numFmt w:val="bullet"/>
      <w:lvlText w:val="•"/>
      <w:lvlJc w:val="left"/>
      <w:pPr>
        <w:ind w:left="6516" w:hanging="720"/>
      </w:pPr>
      <w:rPr>
        <w:rFonts w:hint="default"/>
        <w:lang w:val="zh-CN" w:eastAsia="zh-CN" w:bidi="zh-CN"/>
      </w:rPr>
    </w:lvl>
  </w:abstractNum>
  <w:abstractNum w:abstractNumId="1">
    <w:multiLevelType w:val="hybridMultilevel"/>
    <w:lvl w:ilvl="0">
      <w:start w:val="2"/>
      <w:numFmt w:val="decimal"/>
      <w:lvlText w:val="%1"/>
      <w:lvlJc w:val="left"/>
      <w:pPr>
        <w:ind w:left="634" w:hanging="303"/>
        <w:jc w:val="left"/>
      </w:pPr>
      <w:rPr>
        <w:rFonts w:hint="default"/>
        <w:lang w:val="zh-CN" w:eastAsia="zh-CN" w:bidi="zh-CN"/>
      </w:rPr>
    </w:lvl>
    <w:lvl w:ilvl="1">
      <w:start w:val="1"/>
      <w:numFmt w:val="decimal"/>
      <w:lvlText w:val="%1.%2"/>
      <w:lvlJc w:val="left"/>
      <w:pPr>
        <w:ind w:left="634" w:hanging="303"/>
        <w:jc w:val="left"/>
      </w:pPr>
      <w:rPr>
        <w:rFonts w:hint="default" w:ascii="Calibri" w:hAnsi="Calibri" w:eastAsia="Calibri" w:cs="Calibri"/>
        <w:w w:val="99"/>
        <w:sz w:val="20"/>
        <w:szCs w:val="20"/>
        <w:lang w:val="zh-CN" w:eastAsia="zh-CN" w:bidi="zh-CN"/>
      </w:rPr>
    </w:lvl>
    <w:lvl w:ilvl="2">
      <w:start w:val="0"/>
      <w:numFmt w:val="bullet"/>
      <w:lvlText w:val="•"/>
      <w:lvlJc w:val="left"/>
      <w:pPr>
        <w:ind w:left="2269" w:hanging="303"/>
      </w:pPr>
      <w:rPr>
        <w:rFonts w:hint="default"/>
        <w:lang w:val="zh-CN" w:eastAsia="zh-CN" w:bidi="zh-CN"/>
      </w:rPr>
    </w:lvl>
    <w:lvl w:ilvl="3">
      <w:start w:val="0"/>
      <w:numFmt w:val="bullet"/>
      <w:lvlText w:val="•"/>
      <w:lvlJc w:val="left"/>
      <w:pPr>
        <w:ind w:left="3083" w:hanging="303"/>
      </w:pPr>
      <w:rPr>
        <w:rFonts w:hint="default"/>
        <w:lang w:val="zh-CN" w:eastAsia="zh-CN" w:bidi="zh-CN"/>
      </w:rPr>
    </w:lvl>
    <w:lvl w:ilvl="4">
      <w:start w:val="0"/>
      <w:numFmt w:val="bullet"/>
      <w:lvlText w:val="•"/>
      <w:lvlJc w:val="left"/>
      <w:pPr>
        <w:ind w:left="3898" w:hanging="303"/>
      </w:pPr>
      <w:rPr>
        <w:rFonts w:hint="default"/>
        <w:lang w:val="zh-CN" w:eastAsia="zh-CN" w:bidi="zh-CN"/>
      </w:rPr>
    </w:lvl>
    <w:lvl w:ilvl="5">
      <w:start w:val="0"/>
      <w:numFmt w:val="bullet"/>
      <w:lvlText w:val="•"/>
      <w:lvlJc w:val="left"/>
      <w:pPr>
        <w:ind w:left="4713" w:hanging="303"/>
      </w:pPr>
      <w:rPr>
        <w:rFonts w:hint="default"/>
        <w:lang w:val="zh-CN" w:eastAsia="zh-CN" w:bidi="zh-CN"/>
      </w:rPr>
    </w:lvl>
    <w:lvl w:ilvl="6">
      <w:start w:val="0"/>
      <w:numFmt w:val="bullet"/>
      <w:lvlText w:val="•"/>
      <w:lvlJc w:val="left"/>
      <w:pPr>
        <w:ind w:left="5527" w:hanging="303"/>
      </w:pPr>
      <w:rPr>
        <w:rFonts w:hint="default"/>
        <w:lang w:val="zh-CN" w:eastAsia="zh-CN" w:bidi="zh-CN"/>
      </w:rPr>
    </w:lvl>
    <w:lvl w:ilvl="7">
      <w:start w:val="0"/>
      <w:numFmt w:val="bullet"/>
      <w:lvlText w:val="•"/>
      <w:lvlJc w:val="left"/>
      <w:pPr>
        <w:ind w:left="6342" w:hanging="303"/>
      </w:pPr>
      <w:rPr>
        <w:rFonts w:hint="default"/>
        <w:lang w:val="zh-CN" w:eastAsia="zh-CN" w:bidi="zh-CN"/>
      </w:rPr>
    </w:lvl>
    <w:lvl w:ilvl="8">
      <w:start w:val="0"/>
      <w:numFmt w:val="bullet"/>
      <w:lvlText w:val="•"/>
      <w:lvlJc w:val="left"/>
      <w:pPr>
        <w:ind w:left="7157" w:hanging="303"/>
      </w:pPr>
      <w:rPr>
        <w:rFonts w:hint="default"/>
        <w:lang w:val="zh-CN" w:eastAsia="zh-CN" w:bidi="zh-CN"/>
      </w:rPr>
    </w:lvl>
  </w:abstractNum>
  <w:abstractNum w:abstractNumId="0">
    <w:multiLevelType w:val="hybridMultilevel"/>
    <w:lvl w:ilvl="0">
      <w:start w:val="1"/>
      <w:numFmt w:val="decimal"/>
      <w:lvlText w:val="%1"/>
      <w:lvlJc w:val="left"/>
      <w:pPr>
        <w:ind w:left="662" w:hanging="332"/>
        <w:jc w:val="left"/>
      </w:pPr>
      <w:rPr>
        <w:rFonts w:hint="default"/>
        <w:lang w:val="zh-CN" w:eastAsia="zh-CN" w:bidi="zh-CN"/>
      </w:rPr>
    </w:lvl>
    <w:lvl w:ilvl="1">
      <w:start w:val="1"/>
      <w:numFmt w:val="decimal"/>
      <w:lvlText w:val="%1.%2"/>
      <w:lvlJc w:val="left"/>
      <w:pPr>
        <w:ind w:left="662" w:hanging="332"/>
        <w:jc w:val="left"/>
      </w:pPr>
      <w:rPr>
        <w:rFonts w:hint="default" w:ascii="Calibri" w:hAnsi="Calibri" w:eastAsia="Calibri" w:cs="Calibri"/>
        <w:w w:val="99"/>
        <w:sz w:val="20"/>
        <w:szCs w:val="20"/>
        <w:lang w:val="zh-CN" w:eastAsia="zh-CN" w:bidi="zh-CN"/>
      </w:rPr>
    </w:lvl>
    <w:lvl w:ilvl="2">
      <w:start w:val="0"/>
      <w:numFmt w:val="bullet"/>
      <w:lvlText w:val="•"/>
      <w:lvlJc w:val="left"/>
      <w:pPr>
        <w:ind w:left="2285" w:hanging="332"/>
      </w:pPr>
      <w:rPr>
        <w:rFonts w:hint="default"/>
        <w:lang w:val="zh-CN" w:eastAsia="zh-CN" w:bidi="zh-CN"/>
      </w:rPr>
    </w:lvl>
    <w:lvl w:ilvl="3">
      <w:start w:val="0"/>
      <w:numFmt w:val="bullet"/>
      <w:lvlText w:val="•"/>
      <w:lvlJc w:val="left"/>
      <w:pPr>
        <w:ind w:left="3097" w:hanging="332"/>
      </w:pPr>
      <w:rPr>
        <w:rFonts w:hint="default"/>
        <w:lang w:val="zh-CN" w:eastAsia="zh-CN" w:bidi="zh-CN"/>
      </w:rPr>
    </w:lvl>
    <w:lvl w:ilvl="4">
      <w:start w:val="0"/>
      <w:numFmt w:val="bullet"/>
      <w:lvlText w:val="•"/>
      <w:lvlJc w:val="left"/>
      <w:pPr>
        <w:ind w:left="3910" w:hanging="332"/>
      </w:pPr>
      <w:rPr>
        <w:rFonts w:hint="default"/>
        <w:lang w:val="zh-CN" w:eastAsia="zh-CN" w:bidi="zh-CN"/>
      </w:rPr>
    </w:lvl>
    <w:lvl w:ilvl="5">
      <w:start w:val="0"/>
      <w:numFmt w:val="bullet"/>
      <w:lvlText w:val="•"/>
      <w:lvlJc w:val="left"/>
      <w:pPr>
        <w:ind w:left="4723" w:hanging="332"/>
      </w:pPr>
      <w:rPr>
        <w:rFonts w:hint="default"/>
        <w:lang w:val="zh-CN" w:eastAsia="zh-CN" w:bidi="zh-CN"/>
      </w:rPr>
    </w:lvl>
    <w:lvl w:ilvl="6">
      <w:start w:val="0"/>
      <w:numFmt w:val="bullet"/>
      <w:lvlText w:val="•"/>
      <w:lvlJc w:val="left"/>
      <w:pPr>
        <w:ind w:left="5535" w:hanging="332"/>
      </w:pPr>
      <w:rPr>
        <w:rFonts w:hint="default"/>
        <w:lang w:val="zh-CN" w:eastAsia="zh-CN" w:bidi="zh-CN"/>
      </w:rPr>
    </w:lvl>
    <w:lvl w:ilvl="7">
      <w:start w:val="0"/>
      <w:numFmt w:val="bullet"/>
      <w:lvlText w:val="•"/>
      <w:lvlJc w:val="left"/>
      <w:pPr>
        <w:ind w:left="6348" w:hanging="332"/>
      </w:pPr>
      <w:rPr>
        <w:rFonts w:hint="default"/>
        <w:lang w:val="zh-CN" w:eastAsia="zh-CN" w:bidi="zh-CN"/>
      </w:rPr>
    </w:lvl>
    <w:lvl w:ilvl="8">
      <w:start w:val="0"/>
      <w:numFmt w:val="bullet"/>
      <w:lvlText w:val="•"/>
      <w:lvlJc w:val="left"/>
      <w:pPr>
        <w:ind w:left="7161" w:hanging="332"/>
      </w:pPr>
      <w:rPr>
        <w:rFonts w:hint="default"/>
        <w:lang w:val="zh-CN" w:eastAsia="zh-CN" w:bidi="zh-CN"/>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331"/>
      <w:ind w:right="365"/>
      <w:jc w:val="right"/>
    </w:pPr>
    <w:rPr>
      <w:rFonts w:ascii="宋体" w:hAnsi="宋体" w:eastAsia="宋体" w:cs="宋体"/>
      <w:b/>
      <w:bCs/>
      <w:sz w:val="20"/>
      <w:szCs w:val="20"/>
      <w:lang w:val="zh-CN" w:eastAsia="zh-CN" w:bidi="zh-CN"/>
    </w:rPr>
  </w:style>
  <w:style w:styleId="TOC2" w:type="paragraph">
    <w:name w:val="TOC 2"/>
    <w:basedOn w:val="Normal"/>
    <w:uiPriority w:val="1"/>
    <w:qFormat/>
    <w:pPr>
      <w:spacing w:before="212"/>
      <w:ind w:left="662" w:right="365" w:hanging="663"/>
      <w:jc w:val="right"/>
    </w:pPr>
    <w:rPr>
      <w:rFonts w:ascii="宋体" w:hAnsi="宋体" w:eastAsia="宋体" w:cs="宋体"/>
      <w:sz w:val="20"/>
      <w:szCs w:val="20"/>
      <w:lang w:val="zh-CN" w:eastAsia="zh-CN" w:bidi="zh-CN"/>
    </w:rPr>
  </w:style>
  <w:style w:styleId="TOC3" w:type="paragraph">
    <w:name w:val="TOC 3"/>
    <w:basedOn w:val="Normal"/>
    <w:uiPriority w:val="1"/>
    <w:qFormat/>
    <w:pPr>
      <w:spacing w:before="212"/>
      <w:ind w:left="662" w:hanging="332"/>
    </w:pPr>
    <w:rPr>
      <w:rFonts w:ascii="宋体" w:hAnsi="宋体" w:eastAsia="宋体" w:cs="宋体"/>
      <w:sz w:val="20"/>
      <w:szCs w:val="20"/>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ind w:left="120"/>
      <w:outlineLvl w:val="1"/>
    </w:pPr>
    <w:rPr>
      <w:rFonts w:ascii="宋体" w:hAnsi="宋体" w:eastAsia="宋体" w:cs="宋体"/>
      <w:b/>
      <w:bCs/>
      <w:sz w:val="30"/>
      <w:szCs w:val="30"/>
      <w:lang w:val="zh-CN" w:eastAsia="zh-CN" w:bidi="zh-CN"/>
    </w:rPr>
  </w:style>
  <w:style w:styleId="Heading2" w:type="paragraph">
    <w:name w:val="Heading 2"/>
    <w:basedOn w:val="Normal"/>
    <w:uiPriority w:val="1"/>
    <w:qFormat/>
    <w:pPr>
      <w:ind w:left="578" w:hanging="459"/>
      <w:outlineLvl w:val="2"/>
    </w:pPr>
    <w:rPr>
      <w:rFonts w:ascii="宋体" w:hAnsi="宋体" w:eastAsia="宋体" w:cs="宋体"/>
      <w:b/>
      <w:bCs/>
      <w:sz w:val="24"/>
      <w:szCs w:val="24"/>
      <w:lang w:val="zh-CN" w:eastAsia="zh-CN" w:bidi="zh-CN"/>
    </w:rPr>
  </w:style>
  <w:style w:styleId="ListParagraph" w:type="paragraph">
    <w:name w:val="List Paragraph"/>
    <w:basedOn w:val="Normal"/>
    <w:uiPriority w:val="1"/>
    <w:qFormat/>
    <w:pPr>
      <w:ind w:left="120"/>
      <w:jc w:val="both"/>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shentu-1</dc:creator>
  <dcterms:created xsi:type="dcterms:W3CDTF">2020-03-18T06:54:44Z</dcterms:created>
  <dcterms:modified xsi:type="dcterms:W3CDTF">2020-03-18T06:54:44Z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Microsoft® Word 2010</vt:lpwstr>
  </property>
  <property fmtid="{D5CDD505-2E9C-101B-9397-08002B2CF9AE}" pid="4" name="LastSaved">
    <vt:filetime>2020-03-18T00:00:00Z</vt:filetime>
  </property>
</Properties>
</file>